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3F8" w:rsidRPr="000743F8" w:rsidRDefault="000743F8" w:rsidP="000743F8">
      <w:pPr>
        <w:pStyle w:val="Sansinterligne"/>
        <w:jc w:val="center"/>
        <w:rPr>
          <w:rFonts w:asciiTheme="majorHAnsi" w:hAnsiTheme="majorHAnsi" w:cs="Arial"/>
          <w:b/>
          <w:iCs/>
          <w:color w:val="808080" w:themeColor="background1" w:themeShade="80"/>
          <w:sz w:val="40"/>
          <w:szCs w:val="40"/>
        </w:rPr>
      </w:pPr>
      <w:r w:rsidRPr="000743F8">
        <w:rPr>
          <w:rFonts w:asciiTheme="majorHAnsi" w:hAnsiTheme="majorHAnsi" w:cs="Arial"/>
          <w:b/>
          <w:iCs/>
          <w:color w:val="808080" w:themeColor="background1" w:themeShade="80"/>
          <w:sz w:val="40"/>
          <w:szCs w:val="40"/>
        </w:rPr>
        <w:t>La LGV Sud Europe Atlantique (SEA)</w:t>
      </w:r>
    </w:p>
    <w:p w:rsidR="000C7F62" w:rsidRDefault="000743F8" w:rsidP="000743F8">
      <w:pPr>
        <w:pStyle w:val="Sansinterligne"/>
        <w:jc w:val="center"/>
        <w:rPr>
          <w:rFonts w:asciiTheme="majorHAnsi" w:hAnsiTheme="majorHAnsi" w:cs="Arial"/>
          <w:b/>
          <w:iCs/>
          <w:color w:val="808080" w:themeColor="background1" w:themeShade="80"/>
          <w:sz w:val="40"/>
          <w:szCs w:val="40"/>
        </w:rPr>
      </w:pPr>
      <w:r w:rsidRPr="000743F8">
        <w:rPr>
          <w:rFonts w:asciiTheme="majorHAnsi" w:hAnsiTheme="majorHAnsi" w:cs="Arial"/>
          <w:b/>
          <w:iCs/>
          <w:color w:val="808080" w:themeColor="background1" w:themeShade="80"/>
          <w:sz w:val="40"/>
          <w:szCs w:val="40"/>
        </w:rPr>
        <w:t>Un am</w:t>
      </w:r>
      <w:r w:rsidR="000C7F62">
        <w:rPr>
          <w:rFonts w:asciiTheme="majorHAnsi" w:hAnsiTheme="majorHAnsi" w:cs="Arial"/>
          <w:b/>
          <w:iCs/>
          <w:color w:val="808080" w:themeColor="background1" w:themeShade="80"/>
          <w:sz w:val="40"/>
          <w:szCs w:val="40"/>
        </w:rPr>
        <w:t>énagement majeur pour la région</w:t>
      </w:r>
    </w:p>
    <w:p w:rsidR="000743F8" w:rsidRPr="000743F8" w:rsidRDefault="000743F8" w:rsidP="000743F8">
      <w:pPr>
        <w:pStyle w:val="Sansinterligne"/>
        <w:jc w:val="center"/>
        <w:rPr>
          <w:rFonts w:asciiTheme="majorHAnsi" w:hAnsiTheme="majorHAnsi" w:cs="Arial"/>
          <w:b/>
          <w:iCs/>
          <w:color w:val="808080" w:themeColor="background1" w:themeShade="80"/>
          <w:sz w:val="40"/>
          <w:szCs w:val="40"/>
        </w:rPr>
      </w:pPr>
      <w:r w:rsidRPr="000743F8">
        <w:rPr>
          <w:rFonts w:asciiTheme="majorHAnsi" w:hAnsiTheme="majorHAnsi" w:cs="Arial"/>
          <w:b/>
          <w:iCs/>
          <w:color w:val="808080" w:themeColor="background1" w:themeShade="80"/>
          <w:sz w:val="40"/>
          <w:szCs w:val="40"/>
        </w:rPr>
        <w:t>Poitou-Charentes</w:t>
      </w:r>
    </w:p>
    <w:p w:rsidR="000743F8" w:rsidRPr="000743F8" w:rsidRDefault="000743F8" w:rsidP="000743F8">
      <w:pPr>
        <w:spacing w:before="100" w:beforeAutospacing="1"/>
        <w:jc w:val="center"/>
        <w:rPr>
          <w:rFonts w:asciiTheme="majorHAnsi" w:hAnsiTheme="majorHAnsi" w:cs="Arial"/>
          <w:b/>
          <w:iCs/>
          <w:color w:val="808080" w:themeColor="background1" w:themeShade="80"/>
          <w:sz w:val="32"/>
          <w:szCs w:val="32"/>
        </w:rPr>
      </w:pPr>
      <w:r w:rsidRPr="000743F8">
        <w:rPr>
          <w:rFonts w:asciiTheme="majorHAnsi" w:hAnsiTheme="majorHAnsi" w:cs="Arial"/>
          <w:b/>
          <w:iCs/>
          <w:color w:val="808080" w:themeColor="background1" w:themeShade="80"/>
          <w:sz w:val="32"/>
          <w:szCs w:val="32"/>
        </w:rPr>
        <w:t>Document 7</w:t>
      </w:r>
    </w:p>
    <w:p w:rsidR="00A064DF" w:rsidRPr="000743F8" w:rsidRDefault="00A064DF" w:rsidP="00A064DF">
      <w:pPr>
        <w:spacing w:before="100" w:beforeAutospacing="1" w:after="119"/>
        <w:outlineLvl w:val="0"/>
        <w:rPr>
          <w:rFonts w:asciiTheme="majorHAnsi" w:eastAsia="Times New Roman" w:hAnsiTheme="majorHAnsi" w:cs="Times New Roman"/>
          <w:b/>
          <w:bCs/>
          <w:kern w:val="36"/>
        </w:rPr>
      </w:pPr>
      <w:r w:rsidRPr="000743F8">
        <w:rPr>
          <w:rFonts w:asciiTheme="majorHAnsi" w:eastAsia="Times New Roman" w:hAnsiTheme="majorHAnsi" w:cs="Times New Roman"/>
          <w:b/>
          <w:bCs/>
          <w:kern w:val="36"/>
        </w:rPr>
        <w:t>Attac dénonce le montage financier de la LGV</w:t>
      </w:r>
    </w:p>
    <w:p w:rsidR="00A064DF" w:rsidRDefault="00A064DF" w:rsidP="00A064DF">
      <w:pPr>
        <w:spacing w:before="100" w:beforeAutospacing="1" w:after="119"/>
        <w:rPr>
          <w:rFonts w:asciiTheme="majorHAnsi" w:eastAsia="Times New Roman" w:hAnsiTheme="majorHAnsi" w:cs="Times New Roman"/>
        </w:rPr>
      </w:pPr>
      <w:r w:rsidRPr="000743F8">
        <w:rPr>
          <w:rFonts w:asciiTheme="majorHAnsi" w:eastAsia="Times New Roman" w:hAnsiTheme="majorHAnsi" w:cs="Times New Roman"/>
          <w:sz w:val="16"/>
          <w:szCs w:val="16"/>
        </w:rPr>
        <w:t xml:space="preserve">Le 11 décembre à 04h00 par Stéphane </w:t>
      </w:r>
      <w:proofErr w:type="spellStart"/>
      <w:r w:rsidRPr="000743F8">
        <w:rPr>
          <w:rFonts w:asciiTheme="majorHAnsi" w:eastAsia="Times New Roman" w:hAnsiTheme="majorHAnsi" w:cs="Times New Roman"/>
          <w:sz w:val="16"/>
          <w:szCs w:val="16"/>
        </w:rPr>
        <w:t>Urbajtel</w:t>
      </w:r>
      <w:proofErr w:type="spellEnd"/>
      <w:r w:rsidRPr="000743F8">
        <w:rPr>
          <w:rFonts w:asciiTheme="majorHAnsi" w:eastAsia="Times New Roman" w:hAnsiTheme="majorHAnsi" w:cs="Times New Roman"/>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2"/>
        <w:gridCol w:w="4780"/>
      </w:tblGrid>
      <w:tr w:rsidR="000743F8" w:rsidTr="000743F8">
        <w:tc>
          <w:tcPr>
            <w:tcW w:w="4886" w:type="dxa"/>
          </w:tcPr>
          <w:p w:rsidR="000743F8" w:rsidRDefault="000743F8" w:rsidP="000743F8">
            <w:pPr>
              <w:spacing w:before="100" w:beforeAutospacing="1" w:after="119"/>
              <w:jc w:val="center"/>
              <w:rPr>
                <w:rFonts w:asciiTheme="majorHAnsi" w:eastAsia="Times New Roman" w:hAnsiTheme="majorHAnsi" w:cs="Times New Roman"/>
              </w:rPr>
            </w:pPr>
            <w:r w:rsidRPr="000743F8">
              <w:rPr>
                <w:rFonts w:asciiTheme="majorHAnsi" w:eastAsia="Times New Roman" w:hAnsiTheme="majorHAnsi" w:cs="Times New Roman"/>
                <w:noProof/>
              </w:rPr>
              <w:drawing>
                <wp:inline distT="0" distB="0" distL="0" distR="0" wp14:anchorId="0B7C2177" wp14:editId="341C83D6">
                  <wp:extent cx="2085975" cy="1165925"/>
                  <wp:effectExtent l="57150" t="57150" r="66675" b="723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85975" cy="1165925"/>
                          </a:xfrm>
                          <a:prstGeom prst="rect">
                            <a:avLst/>
                          </a:prstGeom>
                          <a:noFill/>
                          <a:ln w="9525">
                            <a:noFill/>
                            <a:miter lim="800000"/>
                            <a:headEnd/>
                            <a:tailEnd/>
                          </a:ln>
                          <a:effectLst>
                            <a:outerShdw blurRad="50800" dist="38100" dir="2700000" algn="tl" rotWithShape="0">
                              <a:prstClr val="black">
                                <a:alpha val="40000"/>
                              </a:prstClr>
                            </a:outerShdw>
                          </a:effectLst>
                          <a:scene3d>
                            <a:camera prst="orthographicFront"/>
                            <a:lightRig rig="threePt" dir="t"/>
                          </a:scene3d>
                          <a:sp3d>
                            <a:bevelT/>
                          </a:sp3d>
                        </pic:spPr>
                      </pic:pic>
                    </a:graphicData>
                  </a:graphic>
                </wp:inline>
              </w:drawing>
            </w:r>
          </w:p>
        </w:tc>
        <w:tc>
          <w:tcPr>
            <w:tcW w:w="4886" w:type="dxa"/>
          </w:tcPr>
          <w:p w:rsidR="000743F8" w:rsidRPr="000743F8" w:rsidRDefault="000743F8" w:rsidP="000743F8">
            <w:pPr>
              <w:pStyle w:val="Sansinterligne"/>
              <w:jc w:val="both"/>
              <w:rPr>
                <w:rFonts w:asciiTheme="majorHAnsi" w:hAnsiTheme="majorHAnsi" w:cs="Times New Roman"/>
                <w:sz w:val="20"/>
                <w:szCs w:val="20"/>
              </w:rPr>
            </w:pPr>
            <w:r w:rsidRPr="000743F8">
              <w:rPr>
                <w:rFonts w:asciiTheme="majorHAnsi" w:hAnsiTheme="majorHAnsi" w:cs="Times New Roman"/>
                <w:sz w:val="20"/>
                <w:szCs w:val="20"/>
              </w:rPr>
              <w:t>Annie Frouard rappelle qu</w:t>
            </w:r>
            <w:proofErr w:type="gramStart"/>
            <w:r w:rsidRPr="000743F8">
              <w:rPr>
                <w:rFonts w:asciiTheme="majorHAnsi" w:hAnsiTheme="majorHAnsi" w:cs="Times New Roman"/>
                <w:sz w:val="20"/>
                <w:szCs w:val="20"/>
              </w:rPr>
              <w:t>'«</w:t>
            </w:r>
            <w:proofErr w:type="gramEnd"/>
            <w:r w:rsidRPr="000743F8">
              <w:rPr>
                <w:rFonts w:asciiTheme="majorHAnsi" w:hAnsiTheme="majorHAnsi" w:cs="Times New Roman"/>
                <w:sz w:val="20"/>
                <w:szCs w:val="20"/>
              </w:rPr>
              <w:t>il a été annoncé un partenariat public-privé à 50-50». À droite, le président Michel Baudouin. Photo S. U.</w:t>
            </w:r>
          </w:p>
          <w:p w:rsidR="000743F8" w:rsidRDefault="000743F8" w:rsidP="00A064DF">
            <w:pPr>
              <w:spacing w:before="100" w:beforeAutospacing="1" w:after="119"/>
              <w:rPr>
                <w:rFonts w:asciiTheme="majorHAnsi" w:eastAsia="Times New Roman" w:hAnsiTheme="majorHAnsi" w:cs="Times New Roman"/>
              </w:rPr>
            </w:pPr>
          </w:p>
        </w:tc>
      </w:tr>
    </w:tbl>
    <w:p w:rsidR="00A064DF" w:rsidRPr="000743F8" w:rsidRDefault="00A064DF" w:rsidP="000743F8">
      <w:pPr>
        <w:pStyle w:val="Sansinterligne"/>
        <w:jc w:val="both"/>
        <w:rPr>
          <w:rFonts w:asciiTheme="majorHAnsi" w:hAnsiTheme="majorHAnsi" w:cs="Times New Roman"/>
          <w:sz w:val="22"/>
          <w:szCs w:val="22"/>
        </w:rPr>
      </w:pPr>
      <w:r w:rsidRPr="000743F8">
        <w:rPr>
          <w:rFonts w:asciiTheme="majorHAnsi" w:hAnsiTheme="majorHAnsi" w:cs="Times New Roman"/>
          <w:sz w:val="22"/>
          <w:szCs w:val="22"/>
        </w:rPr>
        <w:t>Michel Baudouin compare la convention de financement de la ligne à grande vitesse (LGV) Tours-Bordeaux à un</w:t>
      </w:r>
      <w:proofErr w:type="gramStart"/>
      <w:r w:rsidRPr="000743F8">
        <w:rPr>
          <w:rFonts w:asciiTheme="majorHAnsi" w:hAnsiTheme="majorHAnsi" w:cs="Times New Roman"/>
          <w:sz w:val="22"/>
          <w:szCs w:val="22"/>
        </w:rPr>
        <w:t xml:space="preserve"> </w:t>
      </w:r>
      <w:r w:rsidRPr="000743F8">
        <w:rPr>
          <w:rFonts w:asciiTheme="majorHAnsi" w:hAnsiTheme="majorHAnsi" w:cs="Times New Roman"/>
          <w:i/>
          <w:iCs/>
          <w:sz w:val="22"/>
          <w:szCs w:val="22"/>
        </w:rPr>
        <w:t>«partenariat</w:t>
      </w:r>
      <w:proofErr w:type="gramEnd"/>
      <w:r w:rsidRPr="000743F8">
        <w:rPr>
          <w:rFonts w:asciiTheme="majorHAnsi" w:hAnsiTheme="majorHAnsi" w:cs="Times New Roman"/>
          <w:i/>
          <w:iCs/>
          <w:sz w:val="22"/>
          <w:szCs w:val="22"/>
        </w:rPr>
        <w:t xml:space="preserve"> pigeon plumé»</w:t>
      </w:r>
      <w:r w:rsidRPr="000743F8">
        <w:rPr>
          <w:rFonts w:asciiTheme="majorHAnsi" w:hAnsiTheme="majorHAnsi" w:cs="Times New Roman"/>
          <w:sz w:val="22"/>
          <w:szCs w:val="22"/>
        </w:rPr>
        <w:t>. Cette semaine, le président de la délégation charentaise d'Attac a rassemblé quelques-uns des membres du bureau de l'association altermondialiste à Angoulême pour dénoncer, devant la presse, le</w:t>
      </w:r>
      <w:proofErr w:type="gramStart"/>
      <w:r w:rsidRPr="000743F8">
        <w:rPr>
          <w:rFonts w:asciiTheme="majorHAnsi" w:hAnsiTheme="majorHAnsi" w:cs="Times New Roman"/>
          <w:sz w:val="22"/>
          <w:szCs w:val="22"/>
        </w:rPr>
        <w:t xml:space="preserve"> </w:t>
      </w:r>
      <w:r w:rsidRPr="000743F8">
        <w:rPr>
          <w:rFonts w:asciiTheme="majorHAnsi" w:hAnsiTheme="majorHAnsi" w:cs="Times New Roman"/>
          <w:i/>
          <w:iCs/>
          <w:sz w:val="22"/>
          <w:szCs w:val="22"/>
        </w:rPr>
        <w:t>«scandale</w:t>
      </w:r>
      <w:proofErr w:type="gramEnd"/>
      <w:r w:rsidRPr="000743F8">
        <w:rPr>
          <w:rFonts w:asciiTheme="majorHAnsi" w:hAnsiTheme="majorHAnsi" w:cs="Times New Roman"/>
          <w:i/>
          <w:iCs/>
          <w:sz w:val="22"/>
          <w:szCs w:val="22"/>
        </w:rPr>
        <w:t>»</w:t>
      </w:r>
      <w:r w:rsidRPr="000743F8">
        <w:rPr>
          <w:rFonts w:asciiTheme="majorHAnsi" w:hAnsiTheme="majorHAnsi" w:cs="Times New Roman"/>
          <w:sz w:val="22"/>
          <w:szCs w:val="22"/>
        </w:rPr>
        <w:t xml:space="preserve"> du contrat qui lie les partenaires publics au groupe Vinci, chargé de la construction de la LGV.</w:t>
      </w:r>
    </w:p>
    <w:p w:rsidR="00A064DF" w:rsidRPr="000743F8" w:rsidRDefault="00A064DF" w:rsidP="000743F8">
      <w:pPr>
        <w:pStyle w:val="Sansinterligne"/>
        <w:jc w:val="both"/>
        <w:rPr>
          <w:rFonts w:asciiTheme="majorHAnsi" w:hAnsiTheme="majorHAnsi" w:cs="Times New Roman"/>
          <w:sz w:val="22"/>
          <w:szCs w:val="22"/>
        </w:rPr>
      </w:pPr>
      <w:r w:rsidRPr="000743F8">
        <w:rPr>
          <w:rFonts w:asciiTheme="majorHAnsi" w:hAnsiTheme="majorHAnsi" w:cs="Times New Roman"/>
          <w:sz w:val="22"/>
          <w:szCs w:val="22"/>
        </w:rPr>
        <w:t>Ce que déplore Attac, c'est</w:t>
      </w:r>
      <w:proofErr w:type="gramStart"/>
      <w:r w:rsidRPr="000743F8">
        <w:rPr>
          <w:rFonts w:asciiTheme="majorHAnsi" w:hAnsiTheme="majorHAnsi" w:cs="Times New Roman"/>
          <w:sz w:val="22"/>
          <w:szCs w:val="22"/>
        </w:rPr>
        <w:t xml:space="preserve"> </w:t>
      </w:r>
      <w:r w:rsidRPr="000743F8">
        <w:rPr>
          <w:rFonts w:asciiTheme="majorHAnsi" w:hAnsiTheme="majorHAnsi" w:cs="Times New Roman"/>
          <w:i/>
          <w:iCs/>
          <w:sz w:val="22"/>
          <w:szCs w:val="22"/>
        </w:rPr>
        <w:t>«le</w:t>
      </w:r>
      <w:proofErr w:type="gramEnd"/>
      <w:r w:rsidRPr="000743F8">
        <w:rPr>
          <w:rFonts w:asciiTheme="majorHAnsi" w:hAnsiTheme="majorHAnsi" w:cs="Times New Roman"/>
          <w:i/>
          <w:iCs/>
          <w:sz w:val="22"/>
          <w:szCs w:val="22"/>
        </w:rPr>
        <w:t xml:space="preserve"> montage financier opaque»</w:t>
      </w:r>
      <w:r w:rsidRPr="000743F8">
        <w:rPr>
          <w:rFonts w:asciiTheme="majorHAnsi" w:hAnsiTheme="majorHAnsi" w:cs="Times New Roman"/>
          <w:sz w:val="22"/>
          <w:szCs w:val="22"/>
        </w:rPr>
        <w:t xml:space="preserve"> du projet, selon les mots d'Annie Frouard, vice-présidente. Montage qui ne serait pas conforme aux promesses. Pour argumenter, la structure présente une délibération publique votée par le conseil régional d'Aquitaine et datée du 25 octobre dernier. Le document détaille, noir sur blanc, l'implication de chacun des partenaires de ce chantier titanesque (7,8 milliards d'euros). </w:t>
      </w:r>
      <w:proofErr w:type="gramStart"/>
      <w:r w:rsidRPr="000743F8">
        <w:rPr>
          <w:rFonts w:asciiTheme="majorHAnsi" w:hAnsiTheme="majorHAnsi" w:cs="Times New Roman"/>
          <w:i/>
          <w:iCs/>
          <w:sz w:val="22"/>
          <w:szCs w:val="22"/>
        </w:rPr>
        <w:t>«Dans</w:t>
      </w:r>
      <w:proofErr w:type="gramEnd"/>
      <w:r w:rsidRPr="000743F8">
        <w:rPr>
          <w:rFonts w:asciiTheme="majorHAnsi" w:hAnsiTheme="majorHAnsi" w:cs="Times New Roman"/>
          <w:i/>
          <w:iCs/>
          <w:sz w:val="22"/>
          <w:szCs w:val="22"/>
        </w:rPr>
        <w:t xml:space="preserve"> le projet, le concessionnaire assure 29% du financement, le reste, 71%, est assuré par de l'argent public» </w:t>
      </w:r>
      <w:r w:rsidRPr="000743F8">
        <w:rPr>
          <w:rFonts w:asciiTheme="majorHAnsi" w:hAnsiTheme="majorHAnsi" w:cs="Times New Roman"/>
          <w:b/>
          <w:bCs/>
          <w:sz w:val="22"/>
          <w:szCs w:val="22"/>
        </w:rPr>
        <w:t>(1)</w:t>
      </w:r>
      <w:r w:rsidRPr="000743F8">
        <w:rPr>
          <w:rFonts w:asciiTheme="majorHAnsi" w:hAnsiTheme="majorHAnsi" w:cs="Times New Roman"/>
          <w:sz w:val="22"/>
          <w:szCs w:val="22"/>
        </w:rPr>
        <w:t xml:space="preserve">. </w:t>
      </w:r>
    </w:p>
    <w:p w:rsidR="00A064DF" w:rsidRPr="000743F8" w:rsidRDefault="00A064DF" w:rsidP="000743F8">
      <w:pPr>
        <w:pStyle w:val="Sansinterligne"/>
        <w:jc w:val="both"/>
        <w:rPr>
          <w:rFonts w:asciiTheme="majorHAnsi" w:hAnsiTheme="majorHAnsi" w:cs="Times New Roman"/>
          <w:sz w:val="22"/>
          <w:szCs w:val="22"/>
        </w:rPr>
      </w:pPr>
      <w:proofErr w:type="gramStart"/>
      <w:r w:rsidRPr="000743F8">
        <w:rPr>
          <w:rFonts w:asciiTheme="majorHAnsi" w:hAnsiTheme="majorHAnsi" w:cs="Times New Roman"/>
          <w:i/>
          <w:iCs/>
          <w:sz w:val="22"/>
          <w:szCs w:val="22"/>
        </w:rPr>
        <w:t>«Le</w:t>
      </w:r>
      <w:proofErr w:type="gramEnd"/>
      <w:r w:rsidRPr="000743F8">
        <w:rPr>
          <w:rFonts w:asciiTheme="majorHAnsi" w:hAnsiTheme="majorHAnsi" w:cs="Times New Roman"/>
          <w:i/>
          <w:iCs/>
          <w:sz w:val="22"/>
          <w:szCs w:val="22"/>
        </w:rPr>
        <w:t xml:space="preserve"> jour où le groupe Vinci a remporté l'appel d'offres pour la construction de la LGV</w:t>
      </w:r>
      <w:r w:rsidRPr="000743F8">
        <w:rPr>
          <w:rFonts w:asciiTheme="majorHAnsi" w:hAnsiTheme="majorHAnsi" w:cs="Times New Roman"/>
          <w:sz w:val="22"/>
          <w:szCs w:val="22"/>
        </w:rPr>
        <w:t xml:space="preserve"> [fin mars dernier, NDLR], </w:t>
      </w:r>
      <w:r w:rsidRPr="000743F8">
        <w:rPr>
          <w:rFonts w:asciiTheme="majorHAnsi" w:hAnsiTheme="majorHAnsi" w:cs="Times New Roman"/>
          <w:i/>
          <w:iCs/>
          <w:sz w:val="22"/>
          <w:szCs w:val="22"/>
        </w:rPr>
        <w:t>il a été annoncé un partenariat public-privé à 50-50»</w:t>
      </w:r>
      <w:r w:rsidRPr="000743F8">
        <w:rPr>
          <w:rFonts w:asciiTheme="majorHAnsi" w:hAnsiTheme="majorHAnsi" w:cs="Times New Roman"/>
          <w:sz w:val="22"/>
          <w:szCs w:val="22"/>
        </w:rPr>
        <w:t>, rappelle Annie Frouard. À ses yeux, au final,</w:t>
      </w:r>
      <w:proofErr w:type="gramStart"/>
      <w:r w:rsidRPr="000743F8">
        <w:rPr>
          <w:rFonts w:asciiTheme="majorHAnsi" w:hAnsiTheme="majorHAnsi" w:cs="Times New Roman"/>
          <w:sz w:val="22"/>
          <w:szCs w:val="22"/>
        </w:rPr>
        <w:t xml:space="preserve"> </w:t>
      </w:r>
      <w:r w:rsidRPr="000743F8">
        <w:rPr>
          <w:rFonts w:asciiTheme="majorHAnsi" w:hAnsiTheme="majorHAnsi" w:cs="Times New Roman"/>
          <w:i/>
          <w:iCs/>
          <w:sz w:val="22"/>
          <w:szCs w:val="22"/>
        </w:rPr>
        <w:t>«on</w:t>
      </w:r>
      <w:proofErr w:type="gramEnd"/>
      <w:r w:rsidRPr="000743F8">
        <w:rPr>
          <w:rFonts w:asciiTheme="majorHAnsi" w:hAnsiTheme="majorHAnsi" w:cs="Times New Roman"/>
          <w:i/>
          <w:iCs/>
          <w:sz w:val="22"/>
          <w:szCs w:val="22"/>
        </w:rPr>
        <w:t xml:space="preserve"> abandonne une partie du projet au privé</w:t>
      </w:r>
      <w:r w:rsidRPr="000743F8">
        <w:rPr>
          <w:rFonts w:asciiTheme="majorHAnsi" w:hAnsiTheme="majorHAnsi" w:cs="Times New Roman"/>
          <w:sz w:val="22"/>
          <w:szCs w:val="22"/>
        </w:rPr>
        <w:t xml:space="preserve">. </w:t>
      </w:r>
      <w:r w:rsidRPr="000743F8">
        <w:rPr>
          <w:rFonts w:asciiTheme="majorHAnsi" w:hAnsiTheme="majorHAnsi" w:cs="Times New Roman"/>
          <w:i/>
          <w:iCs/>
          <w:sz w:val="22"/>
          <w:szCs w:val="22"/>
        </w:rPr>
        <w:t>On nationalise les coûts mais on privatise les profits</w:t>
      </w:r>
      <w:proofErr w:type="gramStart"/>
      <w:r w:rsidRPr="000743F8">
        <w:rPr>
          <w:rFonts w:asciiTheme="majorHAnsi" w:hAnsiTheme="majorHAnsi" w:cs="Times New Roman"/>
          <w:i/>
          <w:iCs/>
          <w:sz w:val="22"/>
          <w:szCs w:val="22"/>
        </w:rPr>
        <w:t>.»</w:t>
      </w:r>
      <w:proofErr w:type="gramEnd"/>
      <w:r w:rsidRPr="000743F8">
        <w:rPr>
          <w:rFonts w:asciiTheme="majorHAnsi" w:hAnsiTheme="majorHAnsi" w:cs="Times New Roman"/>
          <w:sz w:val="22"/>
          <w:szCs w:val="22"/>
        </w:rPr>
        <w:t xml:space="preserve"> À Réseau ferré de France (RFF), Pierre-Denis </w:t>
      </w:r>
      <w:proofErr w:type="spellStart"/>
      <w:r w:rsidRPr="000743F8">
        <w:rPr>
          <w:rFonts w:asciiTheme="majorHAnsi" w:hAnsiTheme="majorHAnsi" w:cs="Times New Roman"/>
          <w:sz w:val="22"/>
          <w:szCs w:val="22"/>
        </w:rPr>
        <w:t>Coux</w:t>
      </w:r>
      <w:proofErr w:type="spellEnd"/>
      <w:r w:rsidRPr="000743F8">
        <w:rPr>
          <w:rFonts w:asciiTheme="majorHAnsi" w:hAnsiTheme="majorHAnsi" w:cs="Times New Roman"/>
          <w:sz w:val="22"/>
          <w:szCs w:val="22"/>
        </w:rPr>
        <w:t xml:space="preserve">, le chargé de projet de la ligne Tours-Bordeaux, bondit de sa chaise en écoutant les arguments </w:t>
      </w:r>
      <w:proofErr w:type="gramStart"/>
      <w:r w:rsidRPr="000743F8">
        <w:rPr>
          <w:rFonts w:asciiTheme="majorHAnsi" w:hAnsiTheme="majorHAnsi" w:cs="Times New Roman"/>
          <w:sz w:val="22"/>
          <w:szCs w:val="22"/>
        </w:rPr>
        <w:t>d'Attac:</w:t>
      </w:r>
      <w:proofErr w:type="gramEnd"/>
      <w:r w:rsidRPr="000743F8">
        <w:rPr>
          <w:rFonts w:asciiTheme="majorHAnsi" w:hAnsiTheme="majorHAnsi" w:cs="Times New Roman"/>
          <w:sz w:val="22"/>
          <w:szCs w:val="22"/>
        </w:rPr>
        <w:t xml:space="preserve"> </w:t>
      </w:r>
      <w:r w:rsidRPr="000743F8">
        <w:rPr>
          <w:rFonts w:asciiTheme="majorHAnsi" w:hAnsiTheme="majorHAnsi" w:cs="Times New Roman"/>
          <w:i/>
          <w:iCs/>
          <w:sz w:val="22"/>
          <w:szCs w:val="22"/>
        </w:rPr>
        <w:t>«C'est de la mauvaise foi absolue»</w:t>
      </w:r>
      <w:r w:rsidRPr="000743F8">
        <w:rPr>
          <w:rFonts w:asciiTheme="majorHAnsi" w:hAnsiTheme="majorHAnsi" w:cs="Times New Roman"/>
          <w:sz w:val="22"/>
          <w:szCs w:val="22"/>
        </w:rPr>
        <w:t>, hurle-t-il.</w:t>
      </w:r>
    </w:p>
    <w:p w:rsidR="00A064DF" w:rsidRPr="000743F8" w:rsidRDefault="00A064DF" w:rsidP="000743F8">
      <w:pPr>
        <w:pStyle w:val="Sansinterligne"/>
        <w:jc w:val="both"/>
        <w:rPr>
          <w:rFonts w:asciiTheme="majorHAnsi" w:hAnsiTheme="majorHAnsi" w:cs="Times New Roman"/>
          <w:sz w:val="22"/>
          <w:szCs w:val="22"/>
        </w:rPr>
      </w:pPr>
      <w:r w:rsidRPr="000743F8">
        <w:rPr>
          <w:rFonts w:asciiTheme="majorHAnsi" w:hAnsiTheme="majorHAnsi" w:cs="Times New Roman"/>
          <w:sz w:val="22"/>
          <w:szCs w:val="22"/>
        </w:rPr>
        <w:t xml:space="preserve">Selon ses arguments, Attac s'appuie sur une formule maladroite tirée d'une délibération mais s'indigne pour rien. L'association, juge-t-il, commet surtout une erreur parce qu'elle méconnaît le statut de Réseau ferré de </w:t>
      </w:r>
      <w:proofErr w:type="gramStart"/>
      <w:r w:rsidRPr="000743F8">
        <w:rPr>
          <w:rFonts w:asciiTheme="majorHAnsi" w:hAnsiTheme="majorHAnsi" w:cs="Times New Roman"/>
          <w:sz w:val="22"/>
          <w:szCs w:val="22"/>
        </w:rPr>
        <w:t>France:</w:t>
      </w:r>
      <w:proofErr w:type="gramEnd"/>
      <w:r w:rsidRPr="000743F8">
        <w:rPr>
          <w:rFonts w:asciiTheme="majorHAnsi" w:hAnsiTheme="majorHAnsi" w:cs="Times New Roman"/>
          <w:sz w:val="22"/>
          <w:szCs w:val="22"/>
        </w:rPr>
        <w:t xml:space="preserve"> </w:t>
      </w:r>
      <w:r w:rsidRPr="000743F8">
        <w:rPr>
          <w:rFonts w:asciiTheme="majorHAnsi" w:hAnsiTheme="majorHAnsi" w:cs="Times New Roman"/>
          <w:i/>
          <w:iCs/>
          <w:sz w:val="22"/>
          <w:szCs w:val="22"/>
        </w:rPr>
        <w:t>«Si RFF est une collectivité publique, il dispose d'un statut de droit privé. Par conséquent, ajouter son investissement et celui des collectivités locales, c'est aller un peu vite en besogne</w:t>
      </w:r>
      <w:proofErr w:type="gramStart"/>
      <w:r w:rsidRPr="000743F8">
        <w:rPr>
          <w:rFonts w:asciiTheme="majorHAnsi" w:hAnsiTheme="majorHAnsi" w:cs="Times New Roman"/>
          <w:i/>
          <w:iCs/>
          <w:sz w:val="22"/>
          <w:szCs w:val="22"/>
        </w:rPr>
        <w:t>.»</w:t>
      </w:r>
      <w:proofErr w:type="gramEnd"/>
      <w:r w:rsidRPr="000743F8">
        <w:rPr>
          <w:rFonts w:asciiTheme="majorHAnsi" w:hAnsiTheme="majorHAnsi" w:cs="Times New Roman"/>
          <w:sz w:val="22"/>
          <w:szCs w:val="22"/>
        </w:rPr>
        <w:t xml:space="preserve"> Et pour démonter un peu plus l'argumentaire d'Attac, Pierre-Denis </w:t>
      </w:r>
      <w:proofErr w:type="spellStart"/>
      <w:r w:rsidRPr="000743F8">
        <w:rPr>
          <w:rFonts w:asciiTheme="majorHAnsi" w:hAnsiTheme="majorHAnsi" w:cs="Times New Roman"/>
          <w:sz w:val="22"/>
          <w:szCs w:val="22"/>
        </w:rPr>
        <w:t>Coux</w:t>
      </w:r>
      <w:proofErr w:type="spellEnd"/>
      <w:r w:rsidRPr="000743F8">
        <w:rPr>
          <w:rFonts w:asciiTheme="majorHAnsi" w:hAnsiTheme="majorHAnsi" w:cs="Times New Roman"/>
          <w:sz w:val="22"/>
          <w:szCs w:val="22"/>
        </w:rPr>
        <w:t xml:space="preserve"> affiche des graphiques donnant une vision bien différente du montage </w:t>
      </w:r>
      <w:proofErr w:type="gramStart"/>
      <w:r w:rsidRPr="000743F8">
        <w:rPr>
          <w:rFonts w:asciiTheme="majorHAnsi" w:hAnsiTheme="majorHAnsi" w:cs="Times New Roman"/>
          <w:sz w:val="22"/>
          <w:szCs w:val="22"/>
        </w:rPr>
        <w:t>financier:</w:t>
      </w:r>
      <w:proofErr w:type="gramEnd"/>
      <w:r w:rsidRPr="000743F8">
        <w:rPr>
          <w:rFonts w:asciiTheme="majorHAnsi" w:hAnsiTheme="majorHAnsi" w:cs="Times New Roman"/>
          <w:sz w:val="22"/>
          <w:szCs w:val="22"/>
        </w:rPr>
        <w:t xml:space="preserve"> </w:t>
      </w:r>
      <w:r w:rsidRPr="000743F8">
        <w:rPr>
          <w:rFonts w:asciiTheme="majorHAnsi" w:hAnsiTheme="majorHAnsi" w:cs="Times New Roman"/>
          <w:i/>
          <w:iCs/>
          <w:sz w:val="22"/>
          <w:szCs w:val="22"/>
        </w:rPr>
        <w:t xml:space="preserve">«On découvre que RFF et le concessionnaire financent même un peu plus que prévu, au bénéfice des </w:t>
      </w:r>
      <w:proofErr w:type="spellStart"/>
      <w:r w:rsidRPr="000743F8">
        <w:rPr>
          <w:rFonts w:asciiTheme="majorHAnsi" w:hAnsiTheme="majorHAnsi" w:cs="Times New Roman"/>
          <w:i/>
          <w:iCs/>
          <w:sz w:val="22"/>
          <w:szCs w:val="22"/>
        </w:rPr>
        <w:t>cofinanceurs</w:t>
      </w:r>
      <w:proofErr w:type="spellEnd"/>
      <w:r w:rsidRPr="000743F8">
        <w:rPr>
          <w:rFonts w:asciiTheme="majorHAnsi" w:hAnsiTheme="majorHAnsi" w:cs="Times New Roman"/>
          <w:i/>
          <w:iCs/>
          <w:sz w:val="22"/>
          <w:szCs w:val="22"/>
        </w:rPr>
        <w:t xml:space="preserve"> publics.»</w:t>
      </w:r>
    </w:p>
    <w:p w:rsidR="00A064DF" w:rsidRPr="000743F8" w:rsidRDefault="00A064DF" w:rsidP="000743F8">
      <w:pPr>
        <w:spacing w:before="100" w:beforeAutospacing="1" w:after="119"/>
        <w:jc w:val="both"/>
        <w:rPr>
          <w:rFonts w:asciiTheme="majorHAnsi" w:eastAsia="Times New Roman" w:hAnsiTheme="majorHAnsi" w:cs="Times New Roman"/>
          <w:sz w:val="22"/>
          <w:szCs w:val="22"/>
        </w:rPr>
      </w:pPr>
      <w:r w:rsidRPr="000743F8">
        <w:rPr>
          <w:rFonts w:asciiTheme="majorHAnsi" w:eastAsia="Times New Roman" w:hAnsiTheme="majorHAnsi" w:cs="Times New Roman"/>
          <w:i/>
          <w:iCs/>
          <w:sz w:val="22"/>
          <w:szCs w:val="22"/>
        </w:rPr>
        <w:t>(1) Dans le détail, la délibération stipule que l'État et les collectivités locales supportent 44,88% de l'investissement et Réseau ferré de France 26,26%.</w:t>
      </w:r>
    </w:p>
    <w:p w:rsidR="00A064DF" w:rsidRPr="000743F8" w:rsidRDefault="00404A27" w:rsidP="000743F8">
      <w:pPr>
        <w:spacing w:before="100" w:beforeAutospacing="1" w:after="119"/>
        <w:jc w:val="both"/>
        <w:rPr>
          <w:rFonts w:asciiTheme="majorHAnsi" w:eastAsia="Times New Roman" w:hAnsiTheme="majorHAnsi" w:cs="Times New Roman"/>
          <w:sz w:val="22"/>
          <w:szCs w:val="22"/>
        </w:rPr>
      </w:pPr>
      <w:hyperlink r:id="rId8" w:history="1">
        <w:r w:rsidR="000743F8" w:rsidRPr="001951E6">
          <w:rPr>
            <w:rStyle w:val="Lienhypertexte"/>
            <w:rFonts w:asciiTheme="majorHAnsi" w:eastAsia="Times New Roman" w:hAnsiTheme="majorHAnsi" w:cs="Times New Roman"/>
            <w:b/>
            <w:bCs/>
            <w:sz w:val="22"/>
            <w:szCs w:val="22"/>
          </w:rPr>
          <w:t>www.charentelibre.fr/2010/12/11/attac-denonce-le-montage-financier-de-la-lgv,1011075.php</w:t>
        </w:r>
      </w:hyperlink>
      <w:r w:rsidR="00E90C35" w:rsidRPr="000743F8">
        <w:rPr>
          <w:rFonts w:asciiTheme="majorHAnsi" w:eastAsia="Times New Roman" w:hAnsiTheme="majorHAnsi" w:cs="Times New Roman"/>
          <w:b/>
          <w:bCs/>
          <w:sz w:val="22"/>
          <w:szCs w:val="22"/>
        </w:rPr>
        <w:t xml:space="preserve"> </w:t>
      </w:r>
    </w:p>
    <w:p w:rsidR="00E20B84" w:rsidRPr="000743F8" w:rsidRDefault="00E20B84" w:rsidP="000743F8">
      <w:pPr>
        <w:jc w:val="both"/>
        <w:rPr>
          <w:rFonts w:asciiTheme="majorHAnsi" w:hAnsiTheme="majorHAnsi"/>
          <w:sz w:val="22"/>
          <w:szCs w:val="22"/>
        </w:rPr>
      </w:pPr>
      <w:bookmarkStart w:id="0" w:name="_GoBack"/>
      <w:bookmarkEnd w:id="0"/>
    </w:p>
    <w:sectPr w:rsidR="00E20B84" w:rsidRPr="000743F8" w:rsidSect="00A064DF">
      <w:headerReference w:type="default" r:id="rId9"/>
      <w:footerReference w:type="default" r:id="rId10"/>
      <w:pgSz w:w="11900" w:h="16840"/>
      <w:pgMar w:top="1701"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A27" w:rsidRDefault="00404A27" w:rsidP="00253978">
      <w:r>
        <w:separator/>
      </w:r>
    </w:p>
  </w:endnote>
  <w:endnote w:type="continuationSeparator" w:id="0">
    <w:p w:rsidR="00404A27" w:rsidRDefault="00404A27" w:rsidP="00253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213"/>
      <w:gridCol w:w="3211"/>
    </w:tblGrid>
    <w:tr w:rsidR="000C7F62" w:rsidRPr="000C7F62" w:rsidTr="00B0115C">
      <w:trPr>
        <w:jc w:val="center"/>
      </w:trPr>
      <w:tc>
        <w:tcPr>
          <w:tcW w:w="3257" w:type="dxa"/>
        </w:tcPr>
        <w:p w:rsidR="000C7F62" w:rsidRPr="000C7F62" w:rsidRDefault="000C7F62" w:rsidP="000C7F62">
          <w:pPr>
            <w:pStyle w:val="Pieddepage"/>
            <w:jc w:val="center"/>
            <w:rPr>
              <w:rFonts w:asciiTheme="majorHAnsi" w:hAnsiTheme="majorHAnsi"/>
              <w:i/>
              <w:sz w:val="16"/>
              <w:szCs w:val="16"/>
            </w:rPr>
          </w:pPr>
          <w:r>
            <w:rPr>
              <w:rFonts w:asciiTheme="majorHAnsi" w:hAnsiTheme="majorHAnsi"/>
              <w:i/>
              <w:sz w:val="16"/>
              <w:szCs w:val="16"/>
            </w:rPr>
            <w:t>Pack Ressources LGV</w:t>
          </w:r>
        </w:p>
      </w:tc>
      <w:tc>
        <w:tcPr>
          <w:tcW w:w="3257" w:type="dxa"/>
        </w:tcPr>
        <w:p w:rsidR="000C7F62" w:rsidRPr="000C7F62" w:rsidRDefault="007A503A" w:rsidP="000C7F62">
          <w:pPr>
            <w:pStyle w:val="Pieddepage"/>
            <w:jc w:val="center"/>
            <w:rPr>
              <w:rFonts w:asciiTheme="majorHAnsi" w:hAnsiTheme="majorHAnsi"/>
              <w:i/>
              <w:sz w:val="16"/>
              <w:szCs w:val="16"/>
            </w:rPr>
          </w:pPr>
          <w:r>
            <w:rPr>
              <w:rFonts w:asciiTheme="majorHAnsi" w:hAnsiTheme="majorHAnsi"/>
              <w:i/>
              <w:sz w:val="16"/>
              <w:szCs w:val="16"/>
            </w:rPr>
            <w:t>l</w:t>
          </w:r>
          <w:r w:rsidR="000C7F62">
            <w:rPr>
              <w:rFonts w:asciiTheme="majorHAnsi" w:hAnsiTheme="majorHAnsi"/>
              <w:i/>
              <w:sz w:val="16"/>
              <w:szCs w:val="16"/>
            </w:rPr>
            <w:t>gv-amenage-majeur_doc7-vue-attac.docx</w:t>
          </w:r>
        </w:p>
      </w:tc>
      <w:tc>
        <w:tcPr>
          <w:tcW w:w="3258" w:type="dxa"/>
        </w:tcPr>
        <w:p w:rsidR="000C7F62" w:rsidRPr="000C7F62" w:rsidRDefault="000C7F62" w:rsidP="000C7F62">
          <w:pPr>
            <w:pStyle w:val="Pieddepage"/>
            <w:jc w:val="center"/>
            <w:rPr>
              <w:rFonts w:asciiTheme="majorHAnsi" w:hAnsiTheme="majorHAnsi"/>
              <w:i/>
              <w:sz w:val="16"/>
              <w:szCs w:val="16"/>
            </w:rPr>
          </w:pPr>
          <w:r>
            <w:rPr>
              <w:rFonts w:asciiTheme="majorHAnsi" w:hAnsiTheme="majorHAnsi"/>
              <w:i/>
              <w:sz w:val="16"/>
              <w:szCs w:val="16"/>
            </w:rPr>
            <w:t>Le 08/03/</w:t>
          </w:r>
          <w:proofErr w:type="gramStart"/>
          <w:r>
            <w:rPr>
              <w:rFonts w:asciiTheme="majorHAnsi" w:hAnsiTheme="majorHAnsi"/>
              <w:i/>
              <w:sz w:val="16"/>
              <w:szCs w:val="16"/>
            </w:rPr>
            <w:t>2016  -</w:t>
          </w:r>
          <w:proofErr w:type="gramEnd"/>
          <w:r>
            <w:rPr>
              <w:rFonts w:asciiTheme="majorHAnsi" w:hAnsiTheme="majorHAnsi"/>
              <w:i/>
              <w:sz w:val="16"/>
              <w:szCs w:val="16"/>
            </w:rPr>
            <w:t xml:space="preserve">  Page</w:t>
          </w:r>
          <w:r w:rsidRPr="000C7F62">
            <w:rPr>
              <w:rFonts w:asciiTheme="majorHAnsi" w:hAnsiTheme="majorHAnsi"/>
              <w:i/>
              <w:sz w:val="20"/>
              <w:szCs w:val="20"/>
            </w:rPr>
            <w:t xml:space="preserve"> </w:t>
          </w:r>
          <w:r w:rsidRPr="000C7F62">
            <w:rPr>
              <w:rFonts w:asciiTheme="majorHAnsi" w:hAnsiTheme="majorHAnsi"/>
              <w:i/>
              <w:sz w:val="20"/>
              <w:szCs w:val="20"/>
            </w:rPr>
            <w:fldChar w:fldCharType="begin"/>
          </w:r>
          <w:r w:rsidRPr="000C7F62">
            <w:rPr>
              <w:rFonts w:asciiTheme="majorHAnsi" w:hAnsiTheme="majorHAnsi"/>
              <w:i/>
              <w:sz w:val="20"/>
              <w:szCs w:val="20"/>
            </w:rPr>
            <w:instrText>PAGE   \* MERGEFORMAT</w:instrText>
          </w:r>
          <w:r w:rsidRPr="000C7F62">
            <w:rPr>
              <w:rFonts w:asciiTheme="majorHAnsi" w:hAnsiTheme="majorHAnsi"/>
              <w:i/>
              <w:sz w:val="20"/>
              <w:szCs w:val="20"/>
            </w:rPr>
            <w:fldChar w:fldCharType="separate"/>
          </w:r>
          <w:r w:rsidR="007A503A">
            <w:rPr>
              <w:rFonts w:asciiTheme="majorHAnsi" w:hAnsiTheme="majorHAnsi"/>
              <w:i/>
              <w:noProof/>
              <w:sz w:val="20"/>
              <w:szCs w:val="20"/>
            </w:rPr>
            <w:t>1</w:t>
          </w:r>
          <w:r w:rsidRPr="000C7F62">
            <w:rPr>
              <w:rFonts w:asciiTheme="majorHAnsi" w:hAnsiTheme="majorHAnsi"/>
              <w:i/>
              <w:sz w:val="20"/>
              <w:szCs w:val="20"/>
            </w:rPr>
            <w:fldChar w:fldCharType="end"/>
          </w:r>
          <w:r w:rsidRPr="000C7F62">
            <w:rPr>
              <w:rFonts w:asciiTheme="majorHAnsi" w:hAnsiTheme="majorHAnsi"/>
              <w:i/>
              <w:sz w:val="20"/>
              <w:szCs w:val="20"/>
            </w:rPr>
            <w:t xml:space="preserve"> / </w:t>
          </w:r>
          <w:r>
            <w:rPr>
              <w:rFonts w:asciiTheme="majorHAnsi" w:hAnsiTheme="majorHAnsi"/>
              <w:i/>
              <w:sz w:val="20"/>
              <w:szCs w:val="20"/>
            </w:rPr>
            <w:t>1</w:t>
          </w:r>
        </w:p>
      </w:tc>
    </w:tr>
  </w:tbl>
  <w:p w:rsidR="000C7F62" w:rsidRPr="000C7F62" w:rsidRDefault="000C7F62">
    <w:pPr>
      <w:pStyle w:val="Pieddepage"/>
      <w:rPr>
        <w:sz w:val="1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A27" w:rsidRDefault="00404A27" w:rsidP="00253978">
      <w:r>
        <w:rPr>
          <w:vanish/>
        </w:rPr>
        <w:cr/>
      </w:r>
      <w:proofErr w:type="gramStart"/>
      <w:r>
        <w:rPr>
          <w:vanish/>
        </w:rPr>
        <w:t>le</w:t>
      </w:r>
      <w:proofErr w:type="gramEnd"/>
      <w:r>
        <w:rPr>
          <w:vanish/>
        </w:rPr>
        <w:t xml:space="preserve"> 4 </w:t>
      </w:r>
      <w:proofErr w:type="spellStart"/>
      <w:r>
        <w:rPr>
          <w:vanish/>
        </w:rPr>
        <w:t>marsENICHOUhainement</w:t>
      </w:r>
      <w:proofErr w:type="spellEnd"/>
      <w:r>
        <w:rPr>
          <w:vanish/>
        </w:rPr>
        <w:t xml:space="preserve">...r </w:t>
      </w:r>
      <w:proofErr w:type="spellStart"/>
      <w:r>
        <w:rPr>
          <w:vanish/>
        </w:rPr>
        <w:t>jement</w:t>
      </w:r>
      <w:proofErr w:type="spellEnd"/>
      <w:r>
        <w:rPr>
          <w:vanish/>
        </w:rPr>
        <w:t xml:space="preserve"> car j'us excuserai.</w:t>
      </w:r>
      <w:r>
        <w:rPr>
          <w:vanish/>
        </w:rPr>
        <w:cr/>
      </w:r>
      <w:proofErr w:type="gramStart"/>
      <w:r>
        <w:rPr>
          <w:vanish/>
        </w:rPr>
        <w:t>e</w:t>
      </w:r>
      <w:proofErr w:type="gramEnd"/>
      <w:r>
        <w:rPr>
          <w:vanish/>
        </w:rPr>
        <w:t xml:space="preserve"> savoir à l'i on peut s'</w:t>
      </w:r>
      <w:proofErr w:type="spellStart"/>
      <w:r>
        <w:rPr>
          <w:vanish/>
        </w:rPr>
        <w:t>ec</w:t>
      </w:r>
      <w:proofErr w:type="spellEnd"/>
      <w:r>
        <w:rPr>
          <w:vanish/>
        </w:rPr>
        <w:t xml:space="preserve"> la synthèse.</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separator/>
      </w:r>
    </w:p>
  </w:footnote>
  <w:footnote w:type="continuationSeparator" w:id="0">
    <w:p w:rsidR="00404A27" w:rsidRDefault="00404A27" w:rsidP="00253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33" w:rsidRPr="005503A1" w:rsidRDefault="00735533" w:rsidP="00EB795B">
    <w:pPr>
      <w:pStyle w:val="En-tte"/>
      <w:tabs>
        <w:tab w:val="clear" w:pos="4536"/>
        <w:tab w:val="center" w:pos="4820"/>
      </w:tabs>
    </w:pPr>
    <w:r w:rsidRPr="005503A1">
      <w:rPr>
        <w:noProof/>
      </w:rPr>
      <w:drawing>
        <wp:anchor distT="0" distB="0" distL="114300" distR="114300" simplePos="0" relativeHeight="251652096" behindDoc="0" locked="0" layoutInCell="1" allowOverlap="1">
          <wp:simplePos x="0" y="0"/>
          <wp:positionH relativeFrom="margin">
            <wp:posOffset>-596265</wp:posOffset>
          </wp:positionH>
          <wp:positionV relativeFrom="paragraph">
            <wp:posOffset>-345440</wp:posOffset>
          </wp:positionV>
          <wp:extent cx="7305675" cy="1125220"/>
          <wp:effectExtent l="0" t="0" r="952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08285" cy="1125622"/>
                  </a:xfrm>
                  <a:prstGeom prst="rect">
                    <a:avLst/>
                  </a:prstGeom>
                </pic:spPr>
              </pic:pic>
            </a:graphicData>
          </a:graphic>
        </wp:anchor>
      </w:drawing>
    </w:r>
  </w:p>
  <w:p w:rsidR="005503A1" w:rsidRPr="005503A1" w:rsidRDefault="005503A1" w:rsidP="00253978">
    <w:pPr>
      <w:pStyle w:val="En-tte"/>
      <w:ind w:left="-1417"/>
    </w:pPr>
  </w:p>
  <w:p w:rsidR="00735533" w:rsidRPr="005503A1" w:rsidRDefault="00735533" w:rsidP="00253978">
    <w:pPr>
      <w:pStyle w:val="En-tte"/>
      <w:ind w:left="-1417"/>
    </w:pPr>
  </w:p>
  <w:p w:rsidR="00735533" w:rsidRPr="005503A1" w:rsidRDefault="00735533" w:rsidP="00253978">
    <w:pPr>
      <w:pStyle w:val="En-tte"/>
      <w:ind w:left="-1417"/>
    </w:pPr>
  </w:p>
  <w:p w:rsidR="00735533" w:rsidRPr="005503A1" w:rsidRDefault="00735533" w:rsidP="00253978">
    <w:pPr>
      <w:pStyle w:val="En-tte"/>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D55DA"/>
    <w:multiLevelType w:val="hybridMultilevel"/>
    <w:tmpl w:val="A7389FAA"/>
    <w:lvl w:ilvl="0" w:tplc="7A6E6FF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2F3384"/>
    <w:multiLevelType w:val="hybridMultilevel"/>
    <w:tmpl w:val="FAC04B76"/>
    <w:lvl w:ilvl="0" w:tplc="D4ECDC8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4558EA"/>
    <w:multiLevelType w:val="hybridMultilevel"/>
    <w:tmpl w:val="DF3A4298"/>
    <w:lvl w:ilvl="0" w:tplc="0420A538">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ED3A0E"/>
    <w:multiLevelType w:val="hybridMultilevel"/>
    <w:tmpl w:val="05CA8D1C"/>
    <w:lvl w:ilvl="0" w:tplc="95848C7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1A2ED4"/>
    <w:multiLevelType w:val="hybridMultilevel"/>
    <w:tmpl w:val="6E46F692"/>
    <w:lvl w:ilvl="0" w:tplc="A45274F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AB"/>
    <w:rsid w:val="000743F8"/>
    <w:rsid w:val="00091B27"/>
    <w:rsid w:val="00094F53"/>
    <w:rsid w:val="000A65E1"/>
    <w:rsid w:val="000C4E90"/>
    <w:rsid w:val="000C7F62"/>
    <w:rsid w:val="000E1EF9"/>
    <w:rsid w:val="000F169D"/>
    <w:rsid w:val="00116D6D"/>
    <w:rsid w:val="00153034"/>
    <w:rsid w:val="001B2DF8"/>
    <w:rsid w:val="001C00A3"/>
    <w:rsid w:val="001F0558"/>
    <w:rsid w:val="002138D7"/>
    <w:rsid w:val="00253978"/>
    <w:rsid w:val="0025765B"/>
    <w:rsid w:val="00261714"/>
    <w:rsid w:val="00310D78"/>
    <w:rsid w:val="003156A4"/>
    <w:rsid w:val="003561A2"/>
    <w:rsid w:val="00404A27"/>
    <w:rsid w:val="00456964"/>
    <w:rsid w:val="00457F71"/>
    <w:rsid w:val="00472CBF"/>
    <w:rsid w:val="004E1301"/>
    <w:rsid w:val="00512580"/>
    <w:rsid w:val="005503A1"/>
    <w:rsid w:val="00552F7D"/>
    <w:rsid w:val="005C691D"/>
    <w:rsid w:val="005C6EB1"/>
    <w:rsid w:val="00612309"/>
    <w:rsid w:val="006173AD"/>
    <w:rsid w:val="00620A0C"/>
    <w:rsid w:val="00723A56"/>
    <w:rsid w:val="00735533"/>
    <w:rsid w:val="00760271"/>
    <w:rsid w:val="007A503A"/>
    <w:rsid w:val="007E5F39"/>
    <w:rsid w:val="00862968"/>
    <w:rsid w:val="008B69DB"/>
    <w:rsid w:val="008C45CE"/>
    <w:rsid w:val="008F16FC"/>
    <w:rsid w:val="00944C70"/>
    <w:rsid w:val="00972E4C"/>
    <w:rsid w:val="00996588"/>
    <w:rsid w:val="00997DC4"/>
    <w:rsid w:val="009B365A"/>
    <w:rsid w:val="00A064DF"/>
    <w:rsid w:val="00A27448"/>
    <w:rsid w:val="00A953F4"/>
    <w:rsid w:val="00AC079F"/>
    <w:rsid w:val="00B0115C"/>
    <w:rsid w:val="00B05F22"/>
    <w:rsid w:val="00B20DAB"/>
    <w:rsid w:val="00B22014"/>
    <w:rsid w:val="00B45E61"/>
    <w:rsid w:val="00B55B7F"/>
    <w:rsid w:val="00B868DB"/>
    <w:rsid w:val="00BA7ABE"/>
    <w:rsid w:val="00C01D57"/>
    <w:rsid w:val="00C05CD1"/>
    <w:rsid w:val="00C837FC"/>
    <w:rsid w:val="00C95105"/>
    <w:rsid w:val="00CE0566"/>
    <w:rsid w:val="00CF66D5"/>
    <w:rsid w:val="00D1504F"/>
    <w:rsid w:val="00D1558B"/>
    <w:rsid w:val="00D43E55"/>
    <w:rsid w:val="00D7116B"/>
    <w:rsid w:val="00D91753"/>
    <w:rsid w:val="00D93250"/>
    <w:rsid w:val="00D95AB5"/>
    <w:rsid w:val="00DD5AA1"/>
    <w:rsid w:val="00DE7B6E"/>
    <w:rsid w:val="00E13048"/>
    <w:rsid w:val="00E20B84"/>
    <w:rsid w:val="00E548AA"/>
    <w:rsid w:val="00E90C35"/>
    <w:rsid w:val="00EB795B"/>
    <w:rsid w:val="00EF5C2C"/>
    <w:rsid w:val="00F40C66"/>
    <w:rsid w:val="00F45479"/>
    <w:rsid w:val="00F532AA"/>
    <w:rsid w:val="00F87C38"/>
    <w:rsid w:val="00F87E03"/>
    <w:rsid w:val="00FD00A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2B6800"/>
  <w15:docId w15:val="{EC3AD035-8024-41D6-A12F-86036DF7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532AA"/>
  </w:style>
  <w:style w:type="paragraph" w:styleId="Titre1">
    <w:name w:val="heading 1"/>
    <w:basedOn w:val="Normal"/>
    <w:link w:val="Titre1Car"/>
    <w:uiPriority w:val="9"/>
    <w:qFormat/>
    <w:rsid w:val="00A064DF"/>
    <w:pPr>
      <w:spacing w:before="100" w:beforeAutospacing="1" w:after="119"/>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3E55"/>
    <w:pPr>
      <w:ind w:left="720"/>
      <w:contextualSpacing/>
    </w:pPr>
  </w:style>
  <w:style w:type="paragraph" w:styleId="En-tte">
    <w:name w:val="header"/>
    <w:basedOn w:val="Normal"/>
    <w:link w:val="En-tteCar"/>
    <w:uiPriority w:val="99"/>
    <w:unhideWhenUsed/>
    <w:rsid w:val="00253978"/>
    <w:pPr>
      <w:tabs>
        <w:tab w:val="center" w:pos="4536"/>
        <w:tab w:val="right" w:pos="9072"/>
      </w:tabs>
    </w:pPr>
  </w:style>
  <w:style w:type="character" w:customStyle="1" w:styleId="En-tteCar">
    <w:name w:val="En-tête Car"/>
    <w:basedOn w:val="Policepardfaut"/>
    <w:link w:val="En-tte"/>
    <w:uiPriority w:val="99"/>
    <w:rsid w:val="00253978"/>
  </w:style>
  <w:style w:type="paragraph" w:styleId="Pieddepage">
    <w:name w:val="footer"/>
    <w:basedOn w:val="Normal"/>
    <w:link w:val="PieddepageCar"/>
    <w:uiPriority w:val="99"/>
    <w:unhideWhenUsed/>
    <w:rsid w:val="00253978"/>
    <w:pPr>
      <w:tabs>
        <w:tab w:val="center" w:pos="4536"/>
        <w:tab w:val="right" w:pos="9072"/>
      </w:tabs>
    </w:pPr>
  </w:style>
  <w:style w:type="character" w:customStyle="1" w:styleId="PieddepageCar">
    <w:name w:val="Pied de page Car"/>
    <w:basedOn w:val="Policepardfaut"/>
    <w:link w:val="Pieddepage"/>
    <w:uiPriority w:val="99"/>
    <w:rsid w:val="00253978"/>
  </w:style>
  <w:style w:type="paragraph" w:styleId="NormalWeb">
    <w:name w:val="Normal (Web)"/>
    <w:basedOn w:val="Normal"/>
    <w:uiPriority w:val="99"/>
    <w:semiHidden/>
    <w:unhideWhenUsed/>
    <w:rsid w:val="00735533"/>
    <w:pPr>
      <w:spacing w:before="100" w:beforeAutospacing="1" w:after="100" w:afterAutospacing="1"/>
    </w:pPr>
    <w:rPr>
      <w:rFonts w:ascii="Times New Roman" w:hAnsi="Times New Roman" w:cs="Times New Roman"/>
    </w:rPr>
  </w:style>
  <w:style w:type="character" w:customStyle="1" w:styleId="Titre1Car">
    <w:name w:val="Titre 1 Car"/>
    <w:basedOn w:val="Policepardfaut"/>
    <w:link w:val="Titre1"/>
    <w:uiPriority w:val="9"/>
    <w:rsid w:val="00A064DF"/>
    <w:rPr>
      <w:rFonts w:ascii="Times New Roman" w:eastAsia="Times New Roman" w:hAnsi="Times New Roman" w:cs="Times New Roman"/>
      <w:b/>
      <w:bCs/>
      <w:kern w:val="36"/>
      <w:sz w:val="48"/>
      <w:szCs w:val="48"/>
    </w:rPr>
  </w:style>
  <w:style w:type="character" w:styleId="Accentuation">
    <w:name w:val="Emphasis"/>
    <w:basedOn w:val="Policepardfaut"/>
    <w:uiPriority w:val="20"/>
    <w:qFormat/>
    <w:rsid w:val="00A064DF"/>
    <w:rPr>
      <w:i/>
      <w:iCs/>
    </w:rPr>
  </w:style>
  <w:style w:type="character" w:styleId="lev">
    <w:name w:val="Strong"/>
    <w:basedOn w:val="Policepardfaut"/>
    <w:uiPriority w:val="22"/>
    <w:qFormat/>
    <w:rsid w:val="00A064DF"/>
    <w:rPr>
      <w:b/>
      <w:bCs/>
    </w:rPr>
  </w:style>
  <w:style w:type="paragraph" w:styleId="Textedebulles">
    <w:name w:val="Balloon Text"/>
    <w:basedOn w:val="Normal"/>
    <w:link w:val="TextedebullesCar"/>
    <w:uiPriority w:val="99"/>
    <w:semiHidden/>
    <w:unhideWhenUsed/>
    <w:rsid w:val="00A064DF"/>
    <w:rPr>
      <w:rFonts w:ascii="Tahoma" w:hAnsi="Tahoma" w:cs="Tahoma"/>
      <w:sz w:val="16"/>
      <w:szCs w:val="16"/>
    </w:rPr>
  </w:style>
  <w:style w:type="character" w:customStyle="1" w:styleId="TextedebullesCar">
    <w:name w:val="Texte de bulles Car"/>
    <w:basedOn w:val="Policepardfaut"/>
    <w:link w:val="Textedebulles"/>
    <w:uiPriority w:val="99"/>
    <w:semiHidden/>
    <w:rsid w:val="00A064DF"/>
    <w:rPr>
      <w:rFonts w:ascii="Tahoma" w:hAnsi="Tahoma" w:cs="Tahoma"/>
      <w:sz w:val="16"/>
      <w:szCs w:val="16"/>
    </w:rPr>
  </w:style>
  <w:style w:type="table" w:styleId="Grilledutableau">
    <w:name w:val="Table Grid"/>
    <w:basedOn w:val="TableauNormal"/>
    <w:uiPriority w:val="59"/>
    <w:rsid w:val="00A064D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sinterligne">
    <w:name w:val="No Spacing"/>
    <w:uiPriority w:val="1"/>
    <w:qFormat/>
    <w:rsid w:val="00A064DF"/>
  </w:style>
  <w:style w:type="character" w:styleId="Lienhypertexte">
    <w:name w:val="Hyperlink"/>
    <w:basedOn w:val="Policepardfaut"/>
    <w:uiPriority w:val="99"/>
    <w:unhideWhenUsed/>
    <w:rsid w:val="00E90C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4722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entelibre.fr/2010/12/11/attac-denonce-le-montage-financier-de-la-lgv,1011075.php"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2447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UNIVERSITE DE POITIERS</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LE-KYHUONG</dc:creator>
  <cp:lastModifiedBy>Noel RICHET</cp:lastModifiedBy>
  <cp:revision>4</cp:revision>
  <dcterms:created xsi:type="dcterms:W3CDTF">2016-03-27T15:04:00Z</dcterms:created>
  <dcterms:modified xsi:type="dcterms:W3CDTF">2016-03-27T15:10:00Z</dcterms:modified>
</cp:coreProperties>
</file>