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FEA" w:rsidRPr="00332BD4" w:rsidRDefault="008C1FEA" w:rsidP="008C1FEA">
      <w:pPr>
        <w:pStyle w:val="Sansinterligne"/>
        <w:jc w:val="center"/>
        <w:rPr>
          <w:rFonts w:asciiTheme="majorHAnsi" w:hAnsiTheme="majorHAnsi" w:cs="Arial"/>
          <w:b/>
          <w:iCs/>
          <w:color w:val="808080" w:themeColor="background1" w:themeShade="80"/>
          <w:sz w:val="40"/>
          <w:szCs w:val="40"/>
        </w:rPr>
      </w:pPr>
      <w:r w:rsidRPr="00332BD4">
        <w:rPr>
          <w:rFonts w:asciiTheme="majorHAnsi" w:hAnsiTheme="majorHAnsi" w:cs="Arial"/>
          <w:b/>
          <w:iCs/>
          <w:color w:val="808080" w:themeColor="background1" w:themeShade="80"/>
          <w:sz w:val="40"/>
          <w:szCs w:val="40"/>
        </w:rPr>
        <w:t>La LGV Sud Europe Atlantique (SEA)</w:t>
      </w:r>
    </w:p>
    <w:p w:rsidR="00242B7A" w:rsidRDefault="008C1FEA" w:rsidP="008C1FEA">
      <w:pPr>
        <w:pStyle w:val="Sansinterligne"/>
        <w:jc w:val="center"/>
        <w:rPr>
          <w:rFonts w:asciiTheme="majorHAnsi" w:hAnsiTheme="majorHAnsi" w:cs="Arial"/>
          <w:b/>
          <w:iCs/>
          <w:color w:val="808080" w:themeColor="background1" w:themeShade="80"/>
          <w:sz w:val="40"/>
          <w:szCs w:val="40"/>
        </w:rPr>
      </w:pPr>
      <w:r w:rsidRPr="00332BD4">
        <w:rPr>
          <w:rFonts w:asciiTheme="majorHAnsi" w:hAnsiTheme="majorHAnsi" w:cs="Arial"/>
          <w:b/>
          <w:iCs/>
          <w:color w:val="808080" w:themeColor="background1" w:themeShade="80"/>
          <w:sz w:val="40"/>
          <w:szCs w:val="40"/>
        </w:rPr>
        <w:t>Un am</w:t>
      </w:r>
      <w:r w:rsidR="00242B7A">
        <w:rPr>
          <w:rFonts w:asciiTheme="majorHAnsi" w:hAnsiTheme="majorHAnsi" w:cs="Arial"/>
          <w:b/>
          <w:iCs/>
          <w:color w:val="808080" w:themeColor="background1" w:themeShade="80"/>
          <w:sz w:val="40"/>
          <w:szCs w:val="40"/>
        </w:rPr>
        <w:t>énagement majeur pour la région</w:t>
      </w:r>
    </w:p>
    <w:p w:rsidR="008C1FEA" w:rsidRPr="00332BD4" w:rsidRDefault="008C1FEA" w:rsidP="008C1FEA">
      <w:pPr>
        <w:pStyle w:val="Sansinterligne"/>
        <w:jc w:val="center"/>
        <w:rPr>
          <w:rFonts w:asciiTheme="majorHAnsi" w:hAnsiTheme="majorHAnsi" w:cs="Arial"/>
          <w:b/>
          <w:iCs/>
          <w:color w:val="808080" w:themeColor="background1" w:themeShade="80"/>
          <w:sz w:val="40"/>
          <w:szCs w:val="40"/>
        </w:rPr>
      </w:pPr>
      <w:r w:rsidRPr="00332BD4">
        <w:rPr>
          <w:rFonts w:asciiTheme="majorHAnsi" w:hAnsiTheme="majorHAnsi" w:cs="Arial"/>
          <w:b/>
          <w:iCs/>
          <w:color w:val="808080" w:themeColor="background1" w:themeShade="80"/>
          <w:sz w:val="40"/>
          <w:szCs w:val="40"/>
        </w:rPr>
        <w:t>Poitou-Charentes</w:t>
      </w:r>
    </w:p>
    <w:p w:rsidR="00D15773" w:rsidRPr="008C1FEA" w:rsidRDefault="00D15773" w:rsidP="008C1FEA">
      <w:pPr>
        <w:spacing w:before="100" w:beforeAutospacing="1"/>
        <w:jc w:val="center"/>
        <w:rPr>
          <w:rFonts w:asciiTheme="majorHAnsi" w:hAnsiTheme="majorHAnsi" w:cs="Arial"/>
          <w:b/>
          <w:iCs/>
          <w:color w:val="808080" w:themeColor="background1" w:themeShade="80"/>
          <w:sz w:val="32"/>
          <w:szCs w:val="32"/>
        </w:rPr>
      </w:pPr>
      <w:r w:rsidRPr="008C1FEA">
        <w:rPr>
          <w:rFonts w:asciiTheme="majorHAnsi" w:hAnsiTheme="majorHAnsi" w:cs="Arial"/>
          <w:b/>
          <w:iCs/>
          <w:color w:val="808080" w:themeColor="background1" w:themeShade="80"/>
          <w:sz w:val="32"/>
          <w:szCs w:val="32"/>
        </w:rPr>
        <w:t>Document 3</w:t>
      </w:r>
    </w:p>
    <w:p w:rsidR="008C1FEA" w:rsidRDefault="008C1FEA" w:rsidP="008C1FEA">
      <w:pPr>
        <w:pStyle w:val="Sansinterligne"/>
        <w:jc w:val="center"/>
        <w:rPr>
          <w:rFonts w:asciiTheme="majorHAnsi" w:hAnsiTheme="majorHAnsi" w:cs="Times New Roman"/>
          <w:b/>
          <w:sz w:val="22"/>
          <w:szCs w:val="22"/>
        </w:rPr>
      </w:pPr>
    </w:p>
    <w:p w:rsidR="008C1FEA" w:rsidRPr="008C1FEA" w:rsidRDefault="008C1FEA" w:rsidP="008C1FEA">
      <w:pPr>
        <w:pStyle w:val="Sansinterligne"/>
        <w:jc w:val="center"/>
        <w:rPr>
          <w:rFonts w:asciiTheme="majorHAnsi" w:eastAsia="Times New Roman" w:hAnsiTheme="majorHAnsi" w:cs="Times New Roman"/>
          <w:b/>
          <w:bCs/>
          <w:sz w:val="22"/>
          <w:szCs w:val="22"/>
          <w:u w:val="single"/>
        </w:rPr>
      </w:pPr>
      <w:r w:rsidRPr="008C1FEA">
        <w:rPr>
          <w:rFonts w:asciiTheme="majorHAnsi" w:hAnsiTheme="majorHAnsi" w:cs="Times New Roman"/>
          <w:b/>
          <w:sz w:val="22"/>
          <w:szCs w:val="22"/>
        </w:rPr>
        <w:t>Ligne à grande vitesse Tours-Bordeaux : Un projet porteur d’enjeux économiques forts,</w:t>
      </w:r>
    </w:p>
    <w:p w:rsidR="00821412" w:rsidRPr="008C1FEA" w:rsidRDefault="00821412" w:rsidP="00821412">
      <w:pPr>
        <w:pStyle w:val="Sansinterligne"/>
        <w:rPr>
          <w:rFonts w:asciiTheme="majorHAnsi" w:hAnsiTheme="majorHAnsi"/>
          <w:sz w:val="22"/>
          <w:szCs w:val="22"/>
        </w:rPr>
      </w:pPr>
    </w:p>
    <w:p w:rsidR="00D15773" w:rsidRPr="008C1FEA" w:rsidRDefault="00D15773" w:rsidP="00D15773">
      <w:pPr>
        <w:pStyle w:val="Sansinterligne"/>
        <w:rPr>
          <w:rFonts w:asciiTheme="majorHAnsi" w:eastAsia="Times New Roman" w:hAnsiTheme="majorHAnsi" w:cs="Times New Roman"/>
          <w:sz w:val="22"/>
          <w:szCs w:val="22"/>
        </w:rPr>
      </w:pPr>
    </w:p>
    <w:p w:rsidR="00D15773" w:rsidRPr="008C1FEA" w:rsidRDefault="00D15773" w:rsidP="00821412">
      <w:pPr>
        <w:pStyle w:val="Sansinterligne"/>
        <w:jc w:val="both"/>
        <w:rPr>
          <w:rFonts w:asciiTheme="majorHAnsi" w:hAnsiTheme="majorHAnsi" w:cs="Times New Roman"/>
          <w:sz w:val="22"/>
          <w:szCs w:val="22"/>
        </w:rPr>
      </w:pPr>
      <w:r w:rsidRPr="008C1FEA">
        <w:rPr>
          <w:rFonts w:asciiTheme="majorHAnsi" w:hAnsiTheme="majorHAnsi" w:cs="Times New Roman"/>
          <w:sz w:val="22"/>
          <w:szCs w:val="22"/>
        </w:rPr>
        <w:t>La mise en service d’une ligne à grande vitesse a un impact important sur les activistes économiques des territoires concernés. Avec la LGV SEA Tours-Bordeaux, les entreprises locales peuvent voir leur compétitivité s’améliorer et leur marché s’élargir. Par exemple, le projet de LGV SEA Tours-Bordeaux représente un argument majeur dans un dossier d’implantation d’une entreprise ou de délocalisation de Paris vers la province. Les activités du tertiaire supérieur (études, conseil, assistance…) sont particulièrement intéressées par l’arrivée de la grande vitesse dans leur aire d’influence. Par ailleurs, l’activité touristique est largement favorisée, car la grande vitesse influence positivement le développement des courts séjours. Le tourisme d’affaires devrait également bénéficier de cette amélioration des dessertes ferroviaires.</w:t>
      </w:r>
    </w:p>
    <w:p w:rsidR="00D15773" w:rsidRPr="008C1FEA" w:rsidRDefault="00D15773" w:rsidP="00821412">
      <w:pPr>
        <w:pStyle w:val="Sansinterligne"/>
        <w:jc w:val="both"/>
        <w:rPr>
          <w:rFonts w:asciiTheme="majorHAnsi" w:hAnsiTheme="majorHAnsi" w:cs="Times New Roman"/>
          <w:sz w:val="22"/>
          <w:szCs w:val="22"/>
        </w:rPr>
      </w:pPr>
      <w:r w:rsidRPr="008C1FEA">
        <w:rPr>
          <w:rFonts w:asciiTheme="majorHAnsi" w:hAnsiTheme="majorHAnsi" w:cs="Times New Roman"/>
          <w:sz w:val="22"/>
          <w:szCs w:val="22"/>
        </w:rPr>
        <w:t>De plus, l’apport de la grande vitesse entre Tours et Bordeaux, qui ramènera Bordeaux à 2h05 de Paris, prendra, à terme, des parts de marché à l’aérien. En effet, 4 millions de voyageurs supplémentaires sont attendus sur la future ligne SEA Tours-Bordeaux.</w:t>
      </w:r>
    </w:p>
    <w:p w:rsidR="00D15773" w:rsidRPr="008C1FEA" w:rsidRDefault="00D15773" w:rsidP="00821412">
      <w:pPr>
        <w:pStyle w:val="Sansinterligne"/>
        <w:jc w:val="both"/>
        <w:rPr>
          <w:rFonts w:asciiTheme="majorHAnsi" w:hAnsiTheme="majorHAnsi" w:cs="Times New Roman"/>
          <w:sz w:val="22"/>
          <w:szCs w:val="22"/>
        </w:rPr>
      </w:pPr>
      <w:r w:rsidRPr="008C1FEA">
        <w:rPr>
          <w:rFonts w:asciiTheme="majorHAnsi" w:hAnsiTheme="majorHAnsi" w:cs="Times New Roman"/>
          <w:sz w:val="22"/>
          <w:szCs w:val="22"/>
        </w:rPr>
        <w:t>[...]</w:t>
      </w:r>
    </w:p>
    <w:p w:rsidR="00821412" w:rsidRPr="008C1FEA" w:rsidRDefault="00821412" w:rsidP="00821412">
      <w:pPr>
        <w:pStyle w:val="Sansinterligne"/>
        <w:rPr>
          <w:rFonts w:asciiTheme="majorHAnsi" w:hAnsiTheme="majorHAnsi" w:cs="Times New Roman"/>
          <w:b/>
          <w:sz w:val="22"/>
          <w:szCs w:val="22"/>
        </w:rPr>
      </w:pPr>
    </w:p>
    <w:p w:rsidR="00D15773" w:rsidRPr="008C1FEA" w:rsidRDefault="00D15773" w:rsidP="00821412">
      <w:pPr>
        <w:pStyle w:val="Sansinterligne"/>
        <w:rPr>
          <w:rFonts w:asciiTheme="majorHAnsi" w:hAnsiTheme="majorHAnsi" w:cs="Times New Roman"/>
          <w:b/>
          <w:sz w:val="22"/>
          <w:szCs w:val="22"/>
        </w:rPr>
      </w:pPr>
      <w:r w:rsidRPr="008C1FEA">
        <w:rPr>
          <w:rFonts w:asciiTheme="majorHAnsi" w:hAnsiTheme="majorHAnsi" w:cs="Times New Roman"/>
          <w:b/>
          <w:sz w:val="22"/>
          <w:szCs w:val="22"/>
        </w:rPr>
        <w:t xml:space="preserve">La contribution à l’attractivité des territoires </w:t>
      </w:r>
    </w:p>
    <w:p w:rsidR="00D15773" w:rsidRPr="008C1FEA" w:rsidRDefault="00D15773" w:rsidP="00821412">
      <w:pPr>
        <w:pStyle w:val="Sansinterligne"/>
        <w:jc w:val="both"/>
        <w:rPr>
          <w:rFonts w:asciiTheme="majorHAnsi" w:hAnsiTheme="majorHAnsi" w:cs="Times New Roman"/>
          <w:sz w:val="22"/>
          <w:szCs w:val="22"/>
        </w:rPr>
      </w:pPr>
      <w:r w:rsidRPr="008C1FEA">
        <w:rPr>
          <w:rFonts w:asciiTheme="majorHAnsi" w:hAnsiTheme="majorHAnsi" w:cs="Times New Roman"/>
          <w:sz w:val="22"/>
          <w:szCs w:val="22"/>
        </w:rPr>
        <w:t>Les métiers nécessaires à la conduite des différents travaux de construction de la LGV participent à l’économie locale. De la phase de déboisement à la fin des fouilles, le chantier voit se succéder des experts forestiers, des bûcherons, des conducteurs d’engins forestiers et d’engins de chantiers, des géomètres, des photographes, des dessinateurs, des archéologues. La phase de terrassement et de génie civil va mobiliser des milliers d’ouvriers des travaux publics. La plateforme terminée, suivront les personnes chargées des équipements ferroviaires : voies et signalisation, alimentation électrique, télécommunication.</w:t>
      </w:r>
    </w:p>
    <w:p w:rsidR="00821412" w:rsidRPr="008C1FEA" w:rsidRDefault="00821412" w:rsidP="00821412">
      <w:pPr>
        <w:pStyle w:val="Sansinterligne"/>
        <w:rPr>
          <w:rFonts w:asciiTheme="majorHAnsi" w:hAnsiTheme="majorHAnsi" w:cs="Times New Roman"/>
          <w:b/>
          <w:sz w:val="22"/>
          <w:szCs w:val="22"/>
        </w:rPr>
      </w:pPr>
    </w:p>
    <w:p w:rsidR="00D15773" w:rsidRPr="008C1FEA" w:rsidRDefault="00D15773" w:rsidP="00821412">
      <w:pPr>
        <w:pStyle w:val="Sansinterligne"/>
        <w:rPr>
          <w:rFonts w:asciiTheme="majorHAnsi" w:hAnsiTheme="majorHAnsi" w:cs="Times New Roman"/>
          <w:b/>
          <w:sz w:val="22"/>
          <w:szCs w:val="22"/>
        </w:rPr>
      </w:pPr>
      <w:r w:rsidRPr="008C1FEA">
        <w:rPr>
          <w:rFonts w:asciiTheme="majorHAnsi" w:hAnsiTheme="majorHAnsi" w:cs="Times New Roman"/>
          <w:b/>
          <w:sz w:val="22"/>
          <w:szCs w:val="22"/>
        </w:rPr>
        <w:t>Un projet générateur d’emplois</w:t>
      </w:r>
    </w:p>
    <w:p w:rsidR="00D15773" w:rsidRPr="008C1FEA" w:rsidRDefault="00D15773" w:rsidP="00821412">
      <w:pPr>
        <w:pStyle w:val="Sansinterligne"/>
        <w:jc w:val="both"/>
        <w:rPr>
          <w:rFonts w:asciiTheme="majorHAnsi" w:hAnsiTheme="majorHAnsi" w:cs="Times New Roman"/>
          <w:sz w:val="22"/>
          <w:szCs w:val="22"/>
        </w:rPr>
      </w:pPr>
      <w:r w:rsidRPr="008C1FEA">
        <w:rPr>
          <w:rFonts w:asciiTheme="majorHAnsi" w:hAnsiTheme="majorHAnsi" w:cs="Times New Roman"/>
          <w:sz w:val="22"/>
          <w:szCs w:val="22"/>
        </w:rPr>
        <w:t>La LGV SEA Tours-Bordeaux présente de nombreux avantages pour la collectivité nationale car elle est de façon temporaire et permanente créatrice d’emplois. En effet, l’impact de la réalisation d’une LGV sur l’emploi est double. D’une part, elle permet la création d’emplois lies au chantier et, d’autre part, elle agit sur le développement de l’activité durable dans les territoires concernés par le projet. Sur la LGV SEA Tours-Bordeaux. Prés de 4 500 personnes travailleront sur le chantier de la nouvelle ligne, incluant 1 300 créations nettes. 10% des heures consacrées aux travaux d’infrastructures seront réalisés dans le cadre d’un plan d’insertion. Une fois la construction achevée, 150 emplois permanents assureront le service commercial (exploitation et maintenance).</w:t>
      </w:r>
    </w:p>
    <w:p w:rsidR="00D15773" w:rsidRPr="008C1FEA" w:rsidRDefault="00D15773" w:rsidP="00821412">
      <w:pPr>
        <w:spacing w:before="100" w:beforeAutospacing="1"/>
        <w:rPr>
          <w:rFonts w:asciiTheme="majorHAnsi" w:eastAsia="Times New Roman" w:hAnsiTheme="majorHAnsi" w:cs="Times New Roman"/>
          <w:sz w:val="22"/>
          <w:szCs w:val="22"/>
        </w:rPr>
      </w:pPr>
      <w:bookmarkStart w:id="0" w:name="_GoBack"/>
      <w:bookmarkEnd w:id="0"/>
    </w:p>
    <w:p w:rsidR="00D15773" w:rsidRPr="008C1FEA" w:rsidRDefault="00D15773" w:rsidP="00821412">
      <w:pPr>
        <w:pStyle w:val="Sansinterligne"/>
        <w:jc w:val="right"/>
        <w:rPr>
          <w:rFonts w:asciiTheme="majorHAnsi" w:hAnsiTheme="majorHAnsi" w:cs="Times New Roman"/>
          <w:sz w:val="22"/>
          <w:szCs w:val="22"/>
        </w:rPr>
      </w:pPr>
      <w:r w:rsidRPr="008C1FEA">
        <w:rPr>
          <w:rFonts w:asciiTheme="majorHAnsi" w:hAnsiTheme="majorHAnsi" w:cs="Times New Roman"/>
          <w:sz w:val="22"/>
          <w:szCs w:val="22"/>
        </w:rPr>
        <w:t xml:space="preserve">Ligne à grande vitesse Tours-Bordeaux : Un projet porteur d’enjeux économiques forts, </w:t>
      </w:r>
    </w:p>
    <w:p w:rsidR="00D15773" w:rsidRPr="00821412" w:rsidRDefault="00D15773" w:rsidP="00821412">
      <w:pPr>
        <w:pStyle w:val="Sansinterligne"/>
        <w:jc w:val="right"/>
        <w:rPr>
          <w:rFonts w:ascii="Times New Roman" w:hAnsi="Times New Roman" w:cs="Times New Roman"/>
          <w:sz w:val="22"/>
          <w:szCs w:val="22"/>
        </w:rPr>
      </w:pPr>
      <w:r w:rsidRPr="00821412">
        <w:rPr>
          <w:rFonts w:ascii="Times New Roman" w:hAnsi="Times New Roman" w:cs="Times New Roman"/>
          <w:sz w:val="22"/>
          <w:szCs w:val="22"/>
        </w:rPr>
        <w:t xml:space="preserve">Dossier de </w:t>
      </w:r>
      <w:r w:rsidR="00821412">
        <w:rPr>
          <w:rFonts w:ascii="Times New Roman" w:hAnsi="Times New Roman" w:cs="Times New Roman"/>
          <w:sz w:val="22"/>
          <w:szCs w:val="22"/>
        </w:rPr>
        <w:t>P</w:t>
      </w:r>
      <w:r w:rsidRPr="00821412">
        <w:rPr>
          <w:rFonts w:ascii="Times New Roman" w:hAnsi="Times New Roman" w:cs="Times New Roman"/>
          <w:sz w:val="22"/>
          <w:szCs w:val="22"/>
        </w:rPr>
        <w:t>resse VINCI – RFF – 16 juin 2011, pages 09-10.</w:t>
      </w:r>
    </w:p>
    <w:p w:rsidR="00C05CD1" w:rsidRPr="00821412" w:rsidRDefault="00C05CD1" w:rsidP="00821412">
      <w:pPr>
        <w:pStyle w:val="Sansinterligne"/>
        <w:jc w:val="right"/>
        <w:rPr>
          <w:rFonts w:ascii="Times New Roman" w:hAnsi="Times New Roman" w:cs="Times New Roman"/>
          <w:sz w:val="22"/>
          <w:szCs w:val="22"/>
        </w:rPr>
      </w:pPr>
    </w:p>
    <w:sectPr w:rsidR="00C05CD1" w:rsidRPr="00821412" w:rsidSect="005503A1">
      <w:headerReference w:type="default" r:id="rId7"/>
      <w:footerReference w:type="default" r:id="rId8"/>
      <w:pgSz w:w="11900" w:h="16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CDB" w:rsidRDefault="00594CDB" w:rsidP="00253978">
      <w:r>
        <w:separator/>
      </w:r>
    </w:p>
  </w:endnote>
  <w:endnote w:type="continuationSeparator" w:id="0">
    <w:p w:rsidR="00594CDB" w:rsidRDefault="00594CDB" w:rsidP="0025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213"/>
      <w:gridCol w:w="3211"/>
    </w:tblGrid>
    <w:tr w:rsidR="00242B7A" w:rsidTr="00242B7A">
      <w:tc>
        <w:tcPr>
          <w:tcW w:w="3257" w:type="dxa"/>
        </w:tcPr>
        <w:p w:rsidR="00242B7A" w:rsidRPr="00D25E97" w:rsidRDefault="00242B7A" w:rsidP="00242B7A">
          <w:pPr>
            <w:pStyle w:val="Pieddepage"/>
            <w:jc w:val="center"/>
            <w:rPr>
              <w:rFonts w:asciiTheme="majorHAnsi" w:hAnsiTheme="majorHAnsi"/>
              <w:i/>
              <w:sz w:val="16"/>
            </w:rPr>
          </w:pPr>
          <w:r w:rsidRPr="00D25E97">
            <w:rPr>
              <w:rFonts w:asciiTheme="majorHAnsi" w:hAnsiTheme="majorHAnsi"/>
              <w:i/>
              <w:sz w:val="16"/>
            </w:rPr>
            <w:t>Pack Ressources LGV</w:t>
          </w:r>
        </w:p>
      </w:tc>
      <w:tc>
        <w:tcPr>
          <w:tcW w:w="3257" w:type="dxa"/>
        </w:tcPr>
        <w:p w:rsidR="00242B7A" w:rsidRPr="00D25E97" w:rsidRDefault="00D25E97" w:rsidP="00242B7A">
          <w:pPr>
            <w:pStyle w:val="Pieddepage"/>
            <w:jc w:val="center"/>
            <w:rPr>
              <w:rFonts w:asciiTheme="majorHAnsi" w:hAnsiTheme="majorHAnsi"/>
              <w:i/>
              <w:sz w:val="16"/>
            </w:rPr>
          </w:pPr>
          <w:r w:rsidRPr="00D25E97">
            <w:rPr>
              <w:rFonts w:asciiTheme="majorHAnsi" w:hAnsiTheme="majorHAnsi"/>
              <w:i/>
              <w:sz w:val="16"/>
            </w:rPr>
            <w:t>l</w:t>
          </w:r>
          <w:r w:rsidR="00242B7A" w:rsidRPr="00D25E97">
            <w:rPr>
              <w:rFonts w:asciiTheme="majorHAnsi" w:hAnsiTheme="majorHAnsi"/>
              <w:i/>
              <w:sz w:val="16"/>
            </w:rPr>
            <w:t>gv-amenage-majeur_doc3-port-eco</w:t>
          </w:r>
          <w:r w:rsidR="00D95114">
            <w:rPr>
              <w:rFonts w:asciiTheme="majorHAnsi" w:hAnsiTheme="majorHAnsi"/>
              <w:i/>
              <w:sz w:val="16"/>
            </w:rPr>
            <w:t>.docx</w:t>
          </w:r>
        </w:p>
      </w:tc>
      <w:tc>
        <w:tcPr>
          <w:tcW w:w="3258" w:type="dxa"/>
        </w:tcPr>
        <w:p w:rsidR="00242B7A" w:rsidRPr="00D25E97" w:rsidRDefault="00242B7A" w:rsidP="00242B7A">
          <w:pPr>
            <w:pStyle w:val="Pieddepage"/>
            <w:jc w:val="center"/>
            <w:rPr>
              <w:rFonts w:asciiTheme="majorHAnsi" w:hAnsiTheme="majorHAnsi"/>
              <w:i/>
              <w:sz w:val="16"/>
            </w:rPr>
          </w:pPr>
          <w:r w:rsidRPr="00D25E97">
            <w:rPr>
              <w:rFonts w:asciiTheme="majorHAnsi" w:hAnsiTheme="majorHAnsi"/>
              <w:i/>
              <w:sz w:val="16"/>
            </w:rPr>
            <w:t>Le 08/03/</w:t>
          </w:r>
          <w:proofErr w:type="gramStart"/>
          <w:r w:rsidRPr="00D25E97">
            <w:rPr>
              <w:rFonts w:asciiTheme="majorHAnsi" w:hAnsiTheme="majorHAnsi"/>
              <w:i/>
              <w:sz w:val="16"/>
            </w:rPr>
            <w:t>2016  -</w:t>
          </w:r>
          <w:proofErr w:type="gramEnd"/>
          <w:r w:rsidRPr="00D25E97">
            <w:rPr>
              <w:rFonts w:asciiTheme="majorHAnsi" w:hAnsiTheme="majorHAnsi"/>
              <w:i/>
              <w:sz w:val="16"/>
            </w:rPr>
            <w:t xml:space="preserve">  Page </w:t>
          </w:r>
          <w:r w:rsidRPr="00D25E97">
            <w:rPr>
              <w:rFonts w:asciiTheme="majorHAnsi" w:hAnsiTheme="majorHAnsi"/>
              <w:i/>
              <w:sz w:val="20"/>
            </w:rPr>
            <w:t>1 / 1</w:t>
          </w:r>
        </w:p>
      </w:tc>
    </w:tr>
  </w:tbl>
  <w:p w:rsidR="00242B7A" w:rsidRPr="00242B7A" w:rsidRDefault="00242B7A">
    <w:pPr>
      <w:pStyle w:val="Pieddepage"/>
      <w:rPr>
        <w:rFonts w:asciiTheme="majorHAnsi" w:hAnsiTheme="majorHAnsi"/>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CDB" w:rsidRDefault="00594CDB" w:rsidP="00253978">
      <w:r>
        <w:rPr>
          <w:vanish/>
        </w:rPr>
        <w:cr/>
        <w:t>le 4 marsENICHOUhainement...r jement car j'us excuserai.</w:t>
      </w:r>
      <w:r>
        <w:rPr>
          <w:vanish/>
        </w:rPr>
        <w:cr/>
        <w:t>e savoir à l'i on peut s'ec la synthèse.</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separator/>
      </w:r>
    </w:p>
  </w:footnote>
  <w:footnote w:type="continuationSeparator" w:id="0">
    <w:p w:rsidR="00594CDB" w:rsidRDefault="00594CDB" w:rsidP="00253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533" w:rsidRPr="005503A1" w:rsidRDefault="00735533" w:rsidP="00EB795B">
    <w:pPr>
      <w:pStyle w:val="En-tte"/>
      <w:tabs>
        <w:tab w:val="clear" w:pos="4536"/>
        <w:tab w:val="center" w:pos="4820"/>
      </w:tabs>
    </w:pPr>
    <w:r w:rsidRPr="005503A1">
      <w:rPr>
        <w:noProof/>
        <w:lang w:eastAsia="fr-FR"/>
      </w:rPr>
      <w:drawing>
        <wp:anchor distT="0" distB="0" distL="114300" distR="114300" simplePos="0" relativeHeight="251652096" behindDoc="0" locked="0" layoutInCell="1" allowOverlap="1">
          <wp:simplePos x="0" y="0"/>
          <wp:positionH relativeFrom="margin">
            <wp:posOffset>-596265</wp:posOffset>
          </wp:positionH>
          <wp:positionV relativeFrom="paragraph">
            <wp:posOffset>-345440</wp:posOffset>
          </wp:positionV>
          <wp:extent cx="7305675" cy="1125220"/>
          <wp:effectExtent l="0" t="0" r="952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08285" cy="1125622"/>
                  </a:xfrm>
                  <a:prstGeom prst="rect">
                    <a:avLst/>
                  </a:prstGeom>
                </pic:spPr>
              </pic:pic>
            </a:graphicData>
          </a:graphic>
        </wp:anchor>
      </w:drawing>
    </w:r>
  </w:p>
  <w:p w:rsidR="005503A1" w:rsidRPr="005503A1" w:rsidRDefault="005503A1" w:rsidP="00253978">
    <w:pPr>
      <w:pStyle w:val="En-tte"/>
      <w:ind w:left="-1417"/>
    </w:pPr>
  </w:p>
  <w:p w:rsidR="00735533" w:rsidRPr="005503A1" w:rsidRDefault="00735533" w:rsidP="00253978">
    <w:pPr>
      <w:pStyle w:val="En-tte"/>
      <w:ind w:left="-1417"/>
    </w:pPr>
  </w:p>
  <w:p w:rsidR="00735533" w:rsidRPr="005503A1" w:rsidRDefault="00735533" w:rsidP="00253978">
    <w:pPr>
      <w:pStyle w:val="En-tte"/>
      <w:ind w:left="-1417"/>
    </w:pPr>
  </w:p>
  <w:p w:rsidR="00735533" w:rsidRPr="005503A1" w:rsidRDefault="00735533" w:rsidP="00253978">
    <w:pPr>
      <w:pStyle w:val="En-tte"/>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D55DA"/>
    <w:multiLevelType w:val="hybridMultilevel"/>
    <w:tmpl w:val="A7389FAA"/>
    <w:lvl w:ilvl="0" w:tplc="7A6E6FF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2F3384"/>
    <w:multiLevelType w:val="hybridMultilevel"/>
    <w:tmpl w:val="FAC04B76"/>
    <w:lvl w:ilvl="0" w:tplc="D4ECDC8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4558EA"/>
    <w:multiLevelType w:val="hybridMultilevel"/>
    <w:tmpl w:val="DF3A4298"/>
    <w:lvl w:ilvl="0" w:tplc="0420A53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ED3A0E"/>
    <w:multiLevelType w:val="hybridMultilevel"/>
    <w:tmpl w:val="05CA8D1C"/>
    <w:lvl w:ilvl="0" w:tplc="95848C7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1A2ED4"/>
    <w:multiLevelType w:val="hybridMultilevel"/>
    <w:tmpl w:val="6E46F692"/>
    <w:lvl w:ilvl="0" w:tplc="A45274F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AB"/>
    <w:rsid w:val="00091B27"/>
    <w:rsid w:val="00094F53"/>
    <w:rsid w:val="000C4E90"/>
    <w:rsid w:val="000F169D"/>
    <w:rsid w:val="00116D6D"/>
    <w:rsid w:val="00153034"/>
    <w:rsid w:val="001B2DF8"/>
    <w:rsid w:val="001C00A3"/>
    <w:rsid w:val="001F0558"/>
    <w:rsid w:val="002138D7"/>
    <w:rsid w:val="00242B7A"/>
    <w:rsid w:val="00253978"/>
    <w:rsid w:val="0025765B"/>
    <w:rsid w:val="00261714"/>
    <w:rsid w:val="002E02C8"/>
    <w:rsid w:val="00310D78"/>
    <w:rsid w:val="003156A4"/>
    <w:rsid w:val="003561A2"/>
    <w:rsid w:val="00456964"/>
    <w:rsid w:val="00457F71"/>
    <w:rsid w:val="00472CBF"/>
    <w:rsid w:val="004E1301"/>
    <w:rsid w:val="00512580"/>
    <w:rsid w:val="005503A1"/>
    <w:rsid w:val="00552F7D"/>
    <w:rsid w:val="00594CDB"/>
    <w:rsid w:val="005C691D"/>
    <w:rsid w:val="00612309"/>
    <w:rsid w:val="006173AD"/>
    <w:rsid w:val="00694F8C"/>
    <w:rsid w:val="00723A56"/>
    <w:rsid w:val="00735533"/>
    <w:rsid w:val="00760271"/>
    <w:rsid w:val="007E5F39"/>
    <w:rsid w:val="00821412"/>
    <w:rsid w:val="00862968"/>
    <w:rsid w:val="008B69DB"/>
    <w:rsid w:val="008C1FEA"/>
    <w:rsid w:val="008C45CE"/>
    <w:rsid w:val="008F16FC"/>
    <w:rsid w:val="00944C70"/>
    <w:rsid w:val="00996588"/>
    <w:rsid w:val="009B365A"/>
    <w:rsid w:val="00A27448"/>
    <w:rsid w:val="00A953F4"/>
    <w:rsid w:val="00AC079F"/>
    <w:rsid w:val="00B05F22"/>
    <w:rsid w:val="00B20DAB"/>
    <w:rsid w:val="00B22014"/>
    <w:rsid w:val="00B45E61"/>
    <w:rsid w:val="00B55B7F"/>
    <w:rsid w:val="00B868DB"/>
    <w:rsid w:val="00BA7ABE"/>
    <w:rsid w:val="00C01D57"/>
    <w:rsid w:val="00C05CD1"/>
    <w:rsid w:val="00C837FC"/>
    <w:rsid w:val="00C95105"/>
    <w:rsid w:val="00CE0566"/>
    <w:rsid w:val="00CF66D5"/>
    <w:rsid w:val="00D1504F"/>
    <w:rsid w:val="00D1558B"/>
    <w:rsid w:val="00D15773"/>
    <w:rsid w:val="00D25E97"/>
    <w:rsid w:val="00D43E55"/>
    <w:rsid w:val="00D7116B"/>
    <w:rsid w:val="00D91753"/>
    <w:rsid w:val="00D93250"/>
    <w:rsid w:val="00D95114"/>
    <w:rsid w:val="00D95AB5"/>
    <w:rsid w:val="00DD5AA1"/>
    <w:rsid w:val="00DE7B6E"/>
    <w:rsid w:val="00E13048"/>
    <w:rsid w:val="00E20B84"/>
    <w:rsid w:val="00E548AA"/>
    <w:rsid w:val="00EB795B"/>
    <w:rsid w:val="00EF5C2C"/>
    <w:rsid w:val="00F40C66"/>
    <w:rsid w:val="00F45479"/>
    <w:rsid w:val="00F532AA"/>
    <w:rsid w:val="00F87C38"/>
    <w:rsid w:val="00F87E03"/>
    <w:rsid w:val="00FD00A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14A11C"/>
  <w15:docId w15:val="{F80DB4D8-8A47-441A-AAE4-906F990A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3E55"/>
    <w:pPr>
      <w:ind w:left="720"/>
      <w:contextualSpacing/>
    </w:pPr>
  </w:style>
  <w:style w:type="paragraph" w:styleId="En-tte">
    <w:name w:val="header"/>
    <w:basedOn w:val="Normal"/>
    <w:link w:val="En-tteCar"/>
    <w:uiPriority w:val="99"/>
    <w:unhideWhenUsed/>
    <w:rsid w:val="00253978"/>
    <w:pPr>
      <w:tabs>
        <w:tab w:val="center" w:pos="4536"/>
        <w:tab w:val="right" w:pos="9072"/>
      </w:tabs>
    </w:pPr>
  </w:style>
  <w:style w:type="character" w:customStyle="1" w:styleId="En-tteCar">
    <w:name w:val="En-tête Car"/>
    <w:basedOn w:val="Policepardfaut"/>
    <w:link w:val="En-tte"/>
    <w:uiPriority w:val="99"/>
    <w:rsid w:val="00253978"/>
  </w:style>
  <w:style w:type="paragraph" w:styleId="Pieddepage">
    <w:name w:val="footer"/>
    <w:basedOn w:val="Normal"/>
    <w:link w:val="PieddepageCar"/>
    <w:uiPriority w:val="99"/>
    <w:unhideWhenUsed/>
    <w:rsid w:val="00253978"/>
    <w:pPr>
      <w:tabs>
        <w:tab w:val="center" w:pos="4536"/>
        <w:tab w:val="right" w:pos="9072"/>
      </w:tabs>
    </w:pPr>
  </w:style>
  <w:style w:type="character" w:customStyle="1" w:styleId="PieddepageCar">
    <w:name w:val="Pied de page Car"/>
    <w:basedOn w:val="Policepardfaut"/>
    <w:link w:val="Pieddepage"/>
    <w:uiPriority w:val="99"/>
    <w:rsid w:val="00253978"/>
  </w:style>
  <w:style w:type="paragraph" w:styleId="NormalWeb">
    <w:name w:val="Normal (Web)"/>
    <w:basedOn w:val="Normal"/>
    <w:uiPriority w:val="99"/>
    <w:semiHidden/>
    <w:unhideWhenUsed/>
    <w:rsid w:val="00735533"/>
    <w:pPr>
      <w:spacing w:before="100" w:beforeAutospacing="1" w:after="100" w:afterAutospacing="1"/>
    </w:pPr>
    <w:rPr>
      <w:rFonts w:ascii="Times New Roman" w:hAnsi="Times New Roman" w:cs="Times New Roman"/>
    </w:rPr>
  </w:style>
  <w:style w:type="paragraph" w:styleId="Sansinterligne">
    <w:name w:val="No Spacing"/>
    <w:uiPriority w:val="1"/>
    <w:qFormat/>
    <w:rsid w:val="00D15773"/>
  </w:style>
  <w:style w:type="table" w:styleId="Grilledutableau">
    <w:name w:val="Table Grid"/>
    <w:basedOn w:val="TableauNormal"/>
    <w:uiPriority w:val="59"/>
    <w:rsid w:val="00D157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D15773"/>
    <w:rPr>
      <w:rFonts w:ascii="Tahoma" w:hAnsi="Tahoma" w:cs="Tahoma"/>
      <w:sz w:val="16"/>
      <w:szCs w:val="16"/>
    </w:rPr>
  </w:style>
  <w:style w:type="character" w:customStyle="1" w:styleId="TextedebullesCar">
    <w:name w:val="Texte de bulles Car"/>
    <w:basedOn w:val="Policepardfaut"/>
    <w:link w:val="Textedebulles"/>
    <w:uiPriority w:val="99"/>
    <w:semiHidden/>
    <w:rsid w:val="00D15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0261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450</Words>
  <Characters>2476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UNIVERSITE DE POITIERS</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LE-KYHUONG</dc:creator>
  <cp:keywords/>
  <dc:description/>
  <cp:lastModifiedBy>Noel RICHET</cp:lastModifiedBy>
  <cp:revision>4</cp:revision>
  <dcterms:created xsi:type="dcterms:W3CDTF">2016-03-27T13:50:00Z</dcterms:created>
  <dcterms:modified xsi:type="dcterms:W3CDTF">2016-03-27T13:51:00Z</dcterms:modified>
</cp:coreProperties>
</file>